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0" w:firstLineChars="0"/>
        <w:jc w:val="center"/>
        <w:textAlignment w:val="auto"/>
        <w:outlineLvl w:val="9"/>
        <w:rPr>
          <w:rFonts w:eastAsia="方正小标宋简体"/>
          <w:color w:val="000000" w:themeColor="text1"/>
          <w:sz w:val="44"/>
          <w:szCs w:val="44"/>
          <w:highlight w:val="none"/>
          <w:u w:val="none" w:color="auto"/>
          <w14:textFill>
            <w14:solidFill>
              <w14:schemeClr w14:val="tx1"/>
            </w14:solidFill>
          </w14:textFill>
        </w:rPr>
      </w:pPr>
      <w:r>
        <w:rPr>
          <w:rFonts w:eastAsia="方正小标宋简体"/>
          <w:color w:val="000000" w:themeColor="text1"/>
          <w:sz w:val="44"/>
          <w:szCs w:val="44"/>
          <w:highlight w:val="none"/>
          <w:u w:val="none" w:color="auto"/>
          <w14:textFill>
            <w14:solidFill>
              <w14:schemeClr w14:val="tx1"/>
            </w14:solidFill>
          </w14:textFill>
        </w:rPr>
        <w:t>广东省政府投资基金管理办法</w:t>
      </w:r>
    </w:p>
    <w:p>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0" w:firstLineChars="0"/>
        <w:jc w:val="center"/>
        <w:textAlignment w:val="auto"/>
        <w:outlineLvl w:val="9"/>
        <w:rPr>
          <w:rFonts w:eastAsia="楷体_GB2312"/>
          <w:color w:val="000000" w:themeColor="text1"/>
          <w:sz w:val="32"/>
          <w:szCs w:val="32"/>
          <w:highlight w:val="none"/>
          <w:u w:val="none" w:color="auto"/>
          <w14:textFill>
            <w14:solidFill>
              <w14:schemeClr w14:val="tx1"/>
            </w14:solidFill>
          </w14:textFill>
        </w:rPr>
      </w:pPr>
      <w:r>
        <w:rPr>
          <w:rFonts w:hint="eastAsia" w:eastAsia="楷体_GB2312"/>
          <w:color w:val="000000" w:themeColor="text1"/>
          <w:sz w:val="32"/>
          <w:szCs w:val="32"/>
          <w:highlight w:val="none"/>
          <w:u w:val="none" w:color="auto"/>
          <w14:textFill>
            <w14:solidFill>
              <w14:schemeClr w14:val="tx1"/>
            </w14:solidFill>
          </w14:textFill>
        </w:rPr>
        <w:t>（</w:t>
      </w:r>
      <w:r>
        <w:rPr>
          <w:rFonts w:hint="eastAsia" w:eastAsia="楷体_GB2312"/>
          <w:color w:val="000000" w:themeColor="text1"/>
          <w:sz w:val="32"/>
          <w:szCs w:val="32"/>
          <w:highlight w:val="none"/>
          <w:u w:val="none" w:color="auto"/>
          <w:lang w:eastAsia="zh-CN"/>
          <w14:textFill>
            <w14:solidFill>
              <w14:schemeClr w14:val="tx1"/>
            </w14:solidFill>
          </w14:textFill>
        </w:rPr>
        <w:t>征求意见稿</w:t>
      </w:r>
      <w:r>
        <w:rPr>
          <w:rFonts w:hint="eastAsia" w:eastAsia="楷体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0" w:firstLineChars="0"/>
        <w:jc w:val="center"/>
        <w:textAlignment w:val="auto"/>
        <w:outlineLvl w:val="9"/>
        <w:rPr>
          <w:rFonts w:eastAsia="楷体_GB2312"/>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outlineLvl w:val="0"/>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第一章</w:t>
      </w:r>
      <w:r>
        <w:rPr>
          <w:rFonts w:hint="eastAsia" w:eastAsia="黑体"/>
          <w:color w:val="000000" w:themeColor="text1"/>
          <w:sz w:val="32"/>
          <w:szCs w:val="32"/>
          <w:highlight w:val="none"/>
          <w:u w:val="none" w:color="auto"/>
          <w14:textFill>
            <w14:solidFill>
              <w14:schemeClr w14:val="tx1"/>
            </w14:solidFill>
          </w14:textFill>
        </w:rPr>
        <w:t xml:space="preserve">  总</w:t>
      </w:r>
      <w:r>
        <w:rPr>
          <w:rFonts w:eastAsia="黑体"/>
          <w:color w:val="000000" w:themeColor="text1"/>
          <w:sz w:val="32"/>
          <w:szCs w:val="32"/>
          <w:highlight w:val="none"/>
          <w:u w:val="none" w:color="auto"/>
          <w14:textFill>
            <w14:solidFill>
              <w14:schemeClr w14:val="tx1"/>
            </w14:solidFill>
          </w14:textFill>
        </w:rPr>
        <w:t>则</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第一条</w:t>
      </w:r>
      <w:r>
        <w:rPr>
          <w:rFonts w:eastAsia="仿宋_GB2312"/>
          <w:b/>
          <w:color w:val="000000" w:themeColor="text1"/>
          <w:sz w:val="32"/>
          <w:szCs w:val="32"/>
          <w:highlight w:val="none"/>
          <w:u w:val="none" w:color="auto"/>
          <w14:textFill>
            <w14:solidFill>
              <w14:schemeClr w14:val="tx1"/>
            </w14:solidFill>
          </w14:textFill>
        </w:rPr>
        <w:t xml:space="preserve"> 【</w:t>
      </w:r>
      <w:r>
        <w:rPr>
          <w:rFonts w:hint="eastAsia" w:eastAsia="仿宋_GB2312"/>
          <w:b/>
          <w:color w:val="000000" w:themeColor="text1"/>
          <w:sz w:val="32"/>
          <w:szCs w:val="32"/>
          <w:highlight w:val="none"/>
          <w:u w:val="none" w:color="auto"/>
          <w14:textFill>
            <w14:solidFill>
              <w14:schemeClr w14:val="tx1"/>
            </w14:solidFill>
          </w14:textFill>
        </w:rPr>
        <w:t>政策</w:t>
      </w:r>
      <w:r>
        <w:rPr>
          <w:rFonts w:eastAsia="仿宋_GB2312"/>
          <w:b/>
          <w:color w:val="000000" w:themeColor="text1"/>
          <w:sz w:val="32"/>
          <w:szCs w:val="32"/>
          <w:highlight w:val="none"/>
          <w:u w:val="none" w:color="auto"/>
          <w14:textFill>
            <w14:solidFill>
              <w14:schemeClr w14:val="tx1"/>
            </w14:solidFill>
          </w14:textFill>
        </w:rPr>
        <w:t>依据】</w:t>
      </w:r>
      <w:r>
        <w:rPr>
          <w:rFonts w:eastAsia="仿宋_GB2312"/>
          <w:color w:val="000000" w:themeColor="text1"/>
          <w:sz w:val="32"/>
          <w:szCs w:val="32"/>
          <w:highlight w:val="none"/>
          <w:u w:val="none" w:color="auto"/>
          <w14:textFill>
            <w14:solidFill>
              <w14:schemeClr w14:val="tx1"/>
            </w14:solidFill>
          </w14:textFill>
        </w:rPr>
        <w:t>为构建科学高效的政府投资基金管理体系，</w:t>
      </w:r>
      <w:r>
        <w:rPr>
          <w:rFonts w:hint="eastAsia" w:eastAsia="仿宋_GB2312"/>
          <w:color w:val="000000" w:themeColor="text1"/>
          <w:sz w:val="32"/>
          <w:szCs w:val="32"/>
          <w:highlight w:val="none"/>
          <w:u w:val="none" w:color="auto"/>
          <w14:textFill>
            <w14:solidFill>
              <w14:schemeClr w14:val="tx1"/>
            </w14:solidFill>
          </w14:textFill>
        </w:rPr>
        <w:t>促进政府投资基金高质量发展，</w:t>
      </w:r>
      <w:r>
        <w:rPr>
          <w:rFonts w:eastAsia="仿宋_GB2312"/>
          <w:color w:val="000000" w:themeColor="text1"/>
          <w:sz w:val="32"/>
          <w:szCs w:val="32"/>
          <w:highlight w:val="none"/>
          <w:u w:val="none" w:color="auto"/>
          <w14:textFill>
            <w14:solidFill>
              <w14:schemeClr w14:val="tx1"/>
            </w14:solidFill>
          </w14:textFill>
        </w:rPr>
        <w:t>更好发挥政府投资基金作用，根据《中华人民共和国预算法》及其实施条例等法律法规，以及《国务院办公厅关于促进政府投资基金高质量发展的指导意见》（国办发〔2025〕1号）等文件规定，结合我省实际，制定本办法。</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第二条</w:t>
      </w:r>
      <w:r>
        <w:rPr>
          <w:rFonts w:eastAsia="仿宋_GB2312"/>
          <w:b/>
          <w:bCs/>
          <w:color w:val="000000" w:themeColor="text1"/>
          <w:sz w:val="32"/>
          <w:szCs w:val="32"/>
          <w:highlight w:val="none"/>
          <w:u w:val="none" w:color="auto"/>
          <w14:textFill>
            <w14:solidFill>
              <w14:schemeClr w14:val="tx1"/>
            </w14:solidFill>
          </w14:textFill>
        </w:rPr>
        <w:t xml:space="preserve"> 【基金定义】</w:t>
      </w:r>
      <w:r>
        <w:rPr>
          <w:rFonts w:eastAsia="仿宋_GB2312"/>
          <w:color w:val="000000" w:themeColor="text1"/>
          <w:sz w:val="32"/>
          <w:szCs w:val="32"/>
          <w:highlight w:val="none"/>
          <w:u w:val="none" w:color="auto"/>
          <w14:textFill>
            <w14:solidFill>
              <w14:schemeClr w14:val="tx1"/>
            </w14:solidFill>
          </w14:textFill>
        </w:rPr>
        <w:t>本办法所称</w:t>
      </w:r>
      <w:r>
        <w:rPr>
          <w:rFonts w:eastAsia="仿宋_GB2312"/>
          <w:color w:val="000000" w:themeColor="text1"/>
          <w:sz w:val="32"/>
          <w:szCs w:val="32"/>
          <w:highlight w:val="none"/>
          <w:u w:val="none" w:color="auto"/>
          <w:shd w:val="clear" w:color="auto" w:fill="FFFFFF"/>
          <w14:textFill>
            <w14:solidFill>
              <w14:schemeClr w14:val="tx1"/>
            </w14:solidFill>
          </w14:textFill>
        </w:rPr>
        <w:t>政府投资基金，是指各级政府通过预算安排，以单独出资或与社会资本共同出资设立，采用股权投资等市场化方式，引导各类社会资本支持相关产业和领域发展及创新创业的资金</w:t>
      </w:r>
      <w:r>
        <w:rPr>
          <w:rFonts w:eastAsia="仿宋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采取注资国有企业的方式并明确相关资金专项用于基金出资的，按照本办法管理。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第三条</w:t>
      </w:r>
      <w:r>
        <w:rPr>
          <w:rFonts w:eastAsia="仿宋_GB2312"/>
          <w:b/>
          <w:bCs/>
          <w:color w:val="000000" w:themeColor="text1"/>
          <w:sz w:val="32"/>
          <w:szCs w:val="32"/>
          <w:highlight w:val="none"/>
          <w:u w:val="none" w:color="auto"/>
          <w14:textFill>
            <w14:solidFill>
              <w14:schemeClr w14:val="tx1"/>
            </w14:solidFill>
          </w14:textFill>
        </w:rPr>
        <w:t xml:space="preserve"> 【预算管理】</w:t>
      </w:r>
      <w:r>
        <w:rPr>
          <w:rFonts w:eastAsia="仿宋_GB2312"/>
          <w:color w:val="000000" w:themeColor="text1"/>
          <w:sz w:val="32"/>
          <w:szCs w:val="32"/>
          <w:highlight w:val="none"/>
          <w:u w:val="none" w:color="auto"/>
          <w14:textFill>
            <w14:solidFill>
              <w14:schemeClr w14:val="tx1"/>
            </w14:solidFill>
          </w14:textFill>
        </w:rPr>
        <w:t>各级政府对基金的出资按规定纳入财政预算管理，加强年度预算安排与基金出资的衔接</w:t>
      </w:r>
      <w:r>
        <w:rPr>
          <w:rFonts w:hint="eastAsia" w:eastAsia="仿宋_GB2312"/>
          <w:color w:val="000000" w:themeColor="text1"/>
          <w:sz w:val="32"/>
          <w:szCs w:val="32"/>
          <w:highlight w:val="none"/>
          <w:u w:val="none" w:color="auto"/>
          <w14:textFill>
            <w14:solidFill>
              <w14:schemeClr w14:val="tx1"/>
            </w14:solidFill>
          </w14:textFill>
        </w:rPr>
        <w:t>。财政部门</w:t>
      </w:r>
      <w:r>
        <w:rPr>
          <w:rFonts w:eastAsia="仿宋_GB2312"/>
          <w:color w:val="000000" w:themeColor="text1"/>
          <w:sz w:val="32"/>
          <w:szCs w:val="32"/>
          <w:highlight w:val="none"/>
          <w:u w:val="none" w:color="auto"/>
          <w14:textFill>
            <w14:solidFill>
              <w14:schemeClr w14:val="tx1"/>
            </w14:solidFill>
          </w14:textFill>
        </w:rPr>
        <w:t>结合基金投资进展和结余资金情况合理安排出资。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第四条</w:t>
      </w:r>
      <w:r>
        <w:rPr>
          <w:rFonts w:eastAsia="仿宋_GB2312"/>
          <w:b/>
          <w:bCs/>
          <w:color w:val="000000" w:themeColor="text1"/>
          <w:sz w:val="32"/>
          <w:szCs w:val="32"/>
          <w:highlight w:val="none"/>
          <w:u w:val="none" w:color="auto"/>
          <w14:textFill>
            <w14:solidFill>
              <w14:schemeClr w14:val="tx1"/>
            </w14:solidFill>
          </w14:textFill>
        </w:rPr>
        <w:t xml:space="preserve"> 【总体</w:t>
      </w:r>
      <w:r>
        <w:rPr>
          <w:rFonts w:hint="eastAsia" w:eastAsia="仿宋_GB2312"/>
          <w:b/>
          <w:bCs/>
          <w:color w:val="000000" w:themeColor="text1"/>
          <w:sz w:val="32"/>
          <w:szCs w:val="32"/>
          <w:highlight w:val="none"/>
          <w:u w:val="none" w:color="auto"/>
          <w14:textFill>
            <w14:solidFill>
              <w14:schemeClr w14:val="tx1"/>
            </w14:solidFill>
          </w14:textFill>
        </w:rPr>
        <w:t>要求</w:t>
      </w:r>
      <w:r>
        <w:rPr>
          <w:rFonts w:eastAsia="仿宋_GB2312"/>
          <w:b/>
          <w:bCs/>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政府投资基金突出政府引导和政策性定位，聚焦重大战略、重点领域和市场不能充分发挥作用的薄弱环节，发展耐心资本，注重发挥实效。</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第五条</w:t>
      </w:r>
      <w:r>
        <w:rPr>
          <w:rFonts w:eastAsia="仿宋_GB2312"/>
          <w:b/>
          <w:bCs/>
          <w:color w:val="000000" w:themeColor="text1"/>
          <w:sz w:val="32"/>
          <w:szCs w:val="32"/>
          <w:highlight w:val="none"/>
          <w:u w:val="none" w:color="auto"/>
          <w14:textFill>
            <w14:solidFill>
              <w14:schemeClr w14:val="tx1"/>
            </w14:solidFill>
          </w14:textFill>
        </w:rPr>
        <w:t xml:space="preserve"> 【基金定位】</w:t>
      </w:r>
      <w:r>
        <w:rPr>
          <w:rFonts w:eastAsia="仿宋_GB2312"/>
          <w:color w:val="000000" w:themeColor="text1"/>
          <w:sz w:val="32"/>
          <w:szCs w:val="32"/>
          <w:highlight w:val="none"/>
          <w:u w:val="none" w:color="auto"/>
          <w14:textFill>
            <w14:solidFill>
              <w14:schemeClr w14:val="tx1"/>
            </w14:solidFill>
          </w14:textFill>
        </w:rPr>
        <w:t>政府投资基金主要分为产业投资类基金和创业投资类基金，根据投资方向不同实行差异化的管理机制。</w:t>
      </w:r>
    </w:p>
    <w:p>
      <w:pPr>
        <w:keepNext w:val="0"/>
        <w:keepLines w:val="0"/>
        <w:pageBreakBefore w:val="0"/>
        <w:widowControl w:val="0"/>
        <w:numPr>
          <w:ilvl w:val="255"/>
          <w:numId w:val="0"/>
        </w:numPr>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一）产业投资类基金，主要围绕完善现代化产业体系，支持改造提升传统产业、培育壮大新兴产业、布局建设未来产业，重点投资产业链关键环节和延链补链强链项目，推动提升产业链供应链韧性和安全水平，发挥引领带动作用。</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二）创业投资类基金，主要围绕发展新质生产力，着力投早、投小、投长期、投硬科技，重点支持种子期、起步期等创业早期的企业，推动提升自主创新能力和关键核心技术攻关能力，解决重点关键领域“卡脖子”难题。</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outlineLvl w:val="0"/>
        <w:rPr>
          <w:rFonts w:eastAsia="仿宋_GB2312"/>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第二章</w:t>
      </w:r>
      <w:r>
        <w:rPr>
          <w:rFonts w:hint="eastAsia" w:eastAsia="黑体"/>
          <w:color w:val="000000" w:themeColor="text1"/>
          <w:sz w:val="32"/>
          <w:szCs w:val="32"/>
          <w:highlight w:val="none"/>
          <w:u w:val="none" w:color="auto"/>
          <w14:textFill>
            <w14:solidFill>
              <w14:schemeClr w14:val="tx1"/>
            </w14:solidFill>
          </w14:textFill>
        </w:rPr>
        <w:t xml:space="preserve">  基金</w:t>
      </w:r>
      <w:r>
        <w:rPr>
          <w:rFonts w:eastAsia="黑体"/>
          <w:color w:val="000000" w:themeColor="text1"/>
          <w:sz w:val="32"/>
          <w:szCs w:val="32"/>
          <w:highlight w:val="none"/>
          <w:u w:val="none" w:color="auto"/>
          <w14:textFill>
            <w14:solidFill>
              <w14:schemeClr w14:val="tx1"/>
            </w14:solidFill>
          </w14:textFill>
        </w:rPr>
        <w:t>设立和退出</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
          <w:bCs/>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shd w:val="clear" w:color="auto" w:fill="FFFFFF"/>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第六条</w:t>
      </w:r>
      <w:r>
        <w:rPr>
          <w:rFonts w:eastAsia="仿宋_GB2312"/>
          <w:b/>
          <w:bCs/>
          <w:color w:val="000000" w:themeColor="text1"/>
          <w:sz w:val="32"/>
          <w:szCs w:val="32"/>
          <w:highlight w:val="none"/>
          <w:u w:val="none" w:color="auto"/>
          <w:shd w:val="clear" w:color="auto" w:fill="FFFFFF"/>
          <w14:textFill>
            <w14:solidFill>
              <w14:schemeClr w14:val="tx1"/>
            </w14:solidFill>
          </w14:textFill>
        </w:rPr>
        <w:t xml:space="preserve"> 【分级管理】</w:t>
      </w:r>
      <w:r>
        <w:rPr>
          <w:rFonts w:eastAsia="仿宋_GB2312"/>
          <w:color w:val="000000" w:themeColor="text1"/>
          <w:sz w:val="32"/>
          <w:szCs w:val="32"/>
          <w:highlight w:val="none"/>
          <w:u w:val="none" w:color="auto"/>
          <w:shd w:val="clear" w:color="auto" w:fill="FFFFFF"/>
          <w14:textFill>
            <w14:solidFill>
              <w14:schemeClr w14:val="tx1"/>
            </w14:solidFill>
          </w14:textFill>
        </w:rPr>
        <w:t>政府出资设立基金报同级政府批准</w:t>
      </w:r>
      <w:r>
        <w:rPr>
          <w:rFonts w:hint="eastAsia" w:eastAsia="仿宋_GB2312"/>
          <w:color w:val="000000" w:themeColor="text1"/>
          <w:sz w:val="32"/>
          <w:szCs w:val="32"/>
          <w:highlight w:val="none"/>
          <w:u w:val="none" w:color="auto"/>
          <w:shd w:val="clear" w:color="auto" w:fill="FFFFFF"/>
          <w14:textFill>
            <w14:solidFill>
              <w14:schemeClr w14:val="tx1"/>
            </w14:solidFill>
          </w14:textFill>
        </w:rPr>
        <w:t>。地级以上市、横琴粤澳深度合作区设立政府投资基金</w:t>
      </w:r>
      <w:r>
        <w:rPr>
          <w:rFonts w:eastAsia="仿宋_GB2312"/>
          <w:color w:val="000000" w:themeColor="text1"/>
          <w:sz w:val="32"/>
          <w:szCs w:val="32"/>
          <w:highlight w:val="none"/>
          <w:u w:val="none" w:color="auto"/>
          <w:shd w:val="clear" w:color="auto" w:fill="FFFFFF"/>
          <w14:textFill>
            <w14:solidFill>
              <w14:schemeClr w14:val="tx1"/>
            </w14:solidFill>
          </w14:textFill>
        </w:rPr>
        <w:t>报</w:t>
      </w:r>
      <w:r>
        <w:rPr>
          <w:rFonts w:hint="eastAsia" w:eastAsia="仿宋_GB2312"/>
          <w:color w:val="000000" w:themeColor="text1"/>
          <w:sz w:val="32"/>
          <w:szCs w:val="32"/>
          <w:highlight w:val="none"/>
          <w:u w:val="none" w:color="auto"/>
          <w:shd w:val="clear" w:color="auto" w:fill="FFFFFF"/>
          <w14:textFill>
            <w14:solidFill>
              <w14:schemeClr w14:val="tx1"/>
            </w14:solidFill>
          </w14:textFill>
        </w:rPr>
        <w:t>省级</w:t>
      </w:r>
      <w:r>
        <w:rPr>
          <w:rFonts w:eastAsia="仿宋_GB2312"/>
          <w:color w:val="000000" w:themeColor="text1"/>
          <w:sz w:val="32"/>
          <w:szCs w:val="32"/>
          <w:highlight w:val="none"/>
          <w:u w:val="none" w:color="auto"/>
          <w:shd w:val="clear" w:color="auto" w:fill="FFFFFF"/>
          <w14:textFill>
            <w14:solidFill>
              <w14:schemeClr w14:val="tx1"/>
            </w14:solidFill>
          </w14:textFill>
        </w:rPr>
        <w:t>财政、发展改革部门备案。县级政府严格控制</w:t>
      </w:r>
      <w:r>
        <w:rPr>
          <w:rFonts w:hint="eastAsia" w:eastAsia="仿宋_GB2312"/>
          <w:color w:val="000000" w:themeColor="text1"/>
          <w:sz w:val="32"/>
          <w:szCs w:val="32"/>
          <w:highlight w:val="none"/>
          <w:u w:val="none" w:color="auto"/>
          <w:shd w:val="clear" w:color="auto" w:fill="FFFFFF"/>
          <w14:textFill>
            <w14:solidFill>
              <w14:schemeClr w14:val="tx1"/>
            </w14:solidFill>
          </w14:textFill>
        </w:rPr>
        <w:t>新设</w:t>
      </w:r>
      <w:r>
        <w:rPr>
          <w:rFonts w:eastAsia="仿宋_GB2312"/>
          <w:color w:val="000000" w:themeColor="text1"/>
          <w:sz w:val="32"/>
          <w:szCs w:val="32"/>
          <w:highlight w:val="none"/>
          <w:u w:val="none" w:color="auto"/>
          <w:shd w:val="clear" w:color="auto" w:fill="FFFFFF"/>
          <w14:textFill>
            <w14:solidFill>
              <w14:schemeClr w14:val="tx1"/>
            </w14:solidFill>
          </w14:textFill>
        </w:rPr>
        <w:t>政府投资基金，财力较好、具备资源禀赋的县</w:t>
      </w:r>
      <w:r>
        <w:rPr>
          <w:rFonts w:hint="eastAsia" w:eastAsia="仿宋_GB2312"/>
          <w:color w:val="000000" w:themeColor="text1"/>
          <w:sz w:val="32"/>
          <w:szCs w:val="32"/>
          <w:highlight w:val="none"/>
          <w:u w:val="none" w:color="auto"/>
          <w:shd w:val="clear" w:color="auto" w:fill="FFFFFF"/>
          <w14:textFill>
            <w14:solidFill>
              <w14:schemeClr w14:val="tx1"/>
            </w14:solidFill>
          </w14:textFill>
        </w:rPr>
        <w:t>（市、</w:t>
      </w:r>
      <w:r>
        <w:rPr>
          <w:rFonts w:eastAsia="仿宋_GB2312"/>
          <w:color w:val="000000" w:themeColor="text1"/>
          <w:sz w:val="32"/>
          <w:szCs w:val="32"/>
          <w:highlight w:val="none"/>
          <w:u w:val="none" w:color="auto"/>
          <w:shd w:val="clear" w:color="auto" w:fill="FFFFFF"/>
          <w14:textFill>
            <w14:solidFill>
              <w14:schemeClr w14:val="tx1"/>
            </w14:solidFill>
          </w14:textFill>
        </w:rPr>
        <w:t>区</w:t>
      </w:r>
      <w:r>
        <w:rPr>
          <w:rFonts w:hint="eastAsia" w:eastAsia="仿宋_GB2312"/>
          <w:color w:val="000000" w:themeColor="text1"/>
          <w:sz w:val="32"/>
          <w:szCs w:val="32"/>
          <w:highlight w:val="none"/>
          <w:u w:val="none" w:color="auto"/>
          <w:shd w:val="clear" w:color="auto" w:fill="FFFFFF"/>
          <w14:textFill>
            <w14:solidFill>
              <w14:schemeClr w14:val="tx1"/>
            </w14:solidFill>
          </w14:textFill>
        </w:rPr>
        <w:t>）</w:t>
      </w:r>
      <w:r>
        <w:rPr>
          <w:rFonts w:eastAsia="仿宋_GB2312"/>
          <w:color w:val="000000" w:themeColor="text1"/>
          <w:sz w:val="32"/>
          <w:szCs w:val="32"/>
          <w:highlight w:val="none"/>
          <w:u w:val="none" w:color="auto"/>
          <w:shd w:val="clear" w:color="auto" w:fill="FFFFFF"/>
          <w14:textFill>
            <w14:solidFill>
              <w14:schemeClr w14:val="tx1"/>
            </w14:solidFill>
          </w14:textFill>
        </w:rPr>
        <w:t>如确需发起设立基金的，报所在地级以上市政府批准。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40"/>
          <w:highlight w:val="none"/>
          <w:u w:val="none" w:color="auto"/>
          <w14:textFill>
            <w14:solidFill>
              <w14:schemeClr w14:val="tx1"/>
            </w14:solidFill>
          </w14:textFill>
        </w:rPr>
      </w:pPr>
      <w:r>
        <w:rPr>
          <w:rFonts w:eastAsia="仿宋_GB2312"/>
          <w:color w:val="000000" w:themeColor="text1"/>
          <w:sz w:val="32"/>
          <w:szCs w:val="40"/>
          <w:highlight w:val="none"/>
          <w:u w:val="none" w:color="auto"/>
          <w14:textFill>
            <w14:solidFill>
              <w14:schemeClr w14:val="tx1"/>
            </w14:solidFill>
          </w14:textFill>
        </w:rPr>
        <w:t>除上述情形外，各级党政机关、事业单位不得以财政拨款或</w:t>
      </w:r>
      <w:r>
        <w:rPr>
          <w:rFonts w:eastAsia="仿宋_GB2312"/>
          <w:color w:val="000000" w:themeColor="text1"/>
          <w:spacing w:val="-11"/>
          <w:sz w:val="32"/>
          <w:szCs w:val="40"/>
          <w:highlight w:val="none"/>
          <w:u w:val="none" w:color="auto"/>
          <w14:textFill>
            <w14:solidFill>
              <w14:schemeClr w14:val="tx1"/>
            </w14:solidFill>
          </w14:textFill>
        </w:rPr>
        <w:t>自有收入新设基金，已经设立的要按照政府投资基金统一规范管理。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40"/>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第七条</w:t>
      </w:r>
      <w:r>
        <w:rPr>
          <w:rFonts w:eastAsia="仿宋_GB2312"/>
          <w:b/>
          <w:bCs/>
          <w:color w:val="000000" w:themeColor="text1"/>
          <w:sz w:val="32"/>
          <w:szCs w:val="32"/>
          <w:highlight w:val="none"/>
          <w:u w:val="none" w:color="auto"/>
          <w:shd w:val="clear" w:color="auto" w:fill="FFFFFF"/>
          <w14:textFill>
            <w14:solidFill>
              <w14:schemeClr w14:val="tx1"/>
            </w14:solidFill>
          </w14:textFill>
        </w:rPr>
        <w:t xml:space="preserve"> 【设立评估】</w:t>
      </w:r>
      <w:r>
        <w:rPr>
          <w:rFonts w:eastAsia="仿宋_GB2312"/>
          <w:color w:val="000000" w:themeColor="text1"/>
          <w:sz w:val="32"/>
          <w:szCs w:val="32"/>
          <w:highlight w:val="none"/>
          <w:u w:val="none" w:color="auto"/>
          <w:shd w:val="clear" w:color="auto" w:fill="FFFFFF"/>
          <w14:textFill>
            <w14:solidFill>
              <w14:schemeClr w14:val="tx1"/>
            </w14:solidFill>
          </w14:textFill>
        </w:rPr>
        <w:t>业务主管部门</w:t>
      </w:r>
      <w:r>
        <w:rPr>
          <w:rFonts w:eastAsia="仿宋_GB2312"/>
          <w:color w:val="000000" w:themeColor="text1"/>
          <w:sz w:val="32"/>
          <w:szCs w:val="40"/>
          <w:highlight w:val="none"/>
          <w:u w:val="none" w:color="auto"/>
          <w14:textFill>
            <w14:solidFill>
              <w14:schemeClr w14:val="tx1"/>
            </w14:solidFill>
          </w14:textFill>
        </w:rPr>
        <w:t>提出具体行业领域基金</w:t>
      </w:r>
      <w:r>
        <w:rPr>
          <w:rFonts w:hint="eastAsia" w:eastAsia="仿宋_GB2312"/>
          <w:color w:val="000000" w:themeColor="text1"/>
          <w:sz w:val="32"/>
          <w:szCs w:val="40"/>
          <w:highlight w:val="none"/>
          <w:u w:val="none" w:color="auto"/>
          <w14:textFill>
            <w14:solidFill>
              <w14:schemeClr w14:val="tx1"/>
            </w14:solidFill>
          </w14:textFill>
        </w:rPr>
        <w:t>组建</w:t>
      </w:r>
      <w:r>
        <w:rPr>
          <w:rFonts w:eastAsia="仿宋_GB2312"/>
          <w:color w:val="000000" w:themeColor="text1"/>
          <w:sz w:val="32"/>
          <w:szCs w:val="40"/>
          <w:highlight w:val="none"/>
          <w:u w:val="none" w:color="auto"/>
          <w14:textFill>
            <w14:solidFill>
              <w14:schemeClr w14:val="tx1"/>
            </w14:solidFill>
          </w14:textFill>
        </w:rPr>
        <w:t>建议时，</w:t>
      </w:r>
      <w:r>
        <w:rPr>
          <w:rFonts w:hint="eastAsia" w:eastAsia="仿宋_GB2312"/>
          <w:color w:val="000000" w:themeColor="text1"/>
          <w:sz w:val="32"/>
          <w:szCs w:val="40"/>
          <w:highlight w:val="none"/>
          <w:u w:val="none" w:color="auto"/>
          <w:lang w:eastAsia="zh-CN"/>
          <w14:textFill>
            <w14:solidFill>
              <w14:schemeClr w14:val="tx1"/>
            </w14:solidFill>
          </w14:textFill>
        </w:rPr>
        <w:t>需</w:t>
      </w:r>
      <w:r>
        <w:rPr>
          <w:rFonts w:eastAsia="仿宋_GB2312"/>
          <w:color w:val="000000" w:themeColor="text1"/>
          <w:sz w:val="32"/>
          <w:szCs w:val="40"/>
          <w:highlight w:val="none"/>
          <w:u w:val="none" w:color="auto"/>
          <w14:textFill>
            <w14:solidFill>
              <w14:schemeClr w14:val="tx1"/>
            </w14:solidFill>
          </w14:textFill>
        </w:rPr>
        <w:t>充分说明基金设立的政策依据、</w:t>
      </w:r>
      <w:r>
        <w:rPr>
          <w:rFonts w:hint="eastAsia" w:eastAsia="仿宋_GB2312"/>
          <w:color w:val="000000" w:themeColor="text1"/>
          <w:sz w:val="32"/>
          <w:szCs w:val="40"/>
          <w:highlight w:val="none"/>
          <w:u w:val="none" w:color="auto"/>
          <w14:textFill>
            <w14:solidFill>
              <w14:schemeClr w14:val="tx1"/>
            </w14:solidFill>
          </w14:textFill>
        </w:rPr>
        <w:t>关键绩效</w:t>
      </w:r>
      <w:r>
        <w:rPr>
          <w:rFonts w:eastAsia="仿宋_GB2312"/>
          <w:color w:val="000000" w:themeColor="text1"/>
          <w:sz w:val="32"/>
          <w:szCs w:val="40"/>
          <w:highlight w:val="none"/>
          <w:u w:val="none" w:color="auto"/>
          <w14:textFill>
            <w14:solidFill>
              <w14:schemeClr w14:val="tx1"/>
            </w14:solidFill>
          </w14:textFill>
        </w:rPr>
        <w:t>目标</w:t>
      </w:r>
      <w:r>
        <w:rPr>
          <w:rFonts w:hint="eastAsia" w:eastAsia="仿宋_GB2312"/>
          <w:color w:val="000000" w:themeColor="text1"/>
          <w:sz w:val="32"/>
          <w:szCs w:val="40"/>
          <w:highlight w:val="none"/>
          <w:u w:val="none" w:color="auto"/>
          <w14:textFill>
            <w14:solidFill>
              <w14:schemeClr w14:val="tx1"/>
            </w14:solidFill>
          </w14:textFill>
        </w:rPr>
        <w:t>、</w:t>
      </w:r>
      <w:r>
        <w:rPr>
          <w:rFonts w:eastAsia="仿宋_GB2312"/>
          <w:color w:val="000000" w:themeColor="text1"/>
          <w:sz w:val="32"/>
          <w:szCs w:val="40"/>
          <w:highlight w:val="none"/>
          <w:u w:val="none" w:color="auto"/>
          <w14:textFill>
            <w14:solidFill>
              <w14:schemeClr w14:val="tx1"/>
            </w14:solidFill>
          </w14:textFill>
        </w:rPr>
        <w:t>投向领域、基金规模、出资来源和募集可行性等。财政部门牵头对基金设立必要性、可行性进行论证评估</w:t>
      </w:r>
      <w:r>
        <w:rPr>
          <w:rFonts w:eastAsia="仿宋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第八条</w:t>
      </w:r>
      <w:r>
        <w:rPr>
          <w:rFonts w:eastAsia="仿宋_GB2312"/>
          <w:b/>
          <w:bCs/>
          <w:color w:val="000000" w:themeColor="text1"/>
          <w:sz w:val="32"/>
          <w:szCs w:val="32"/>
          <w:highlight w:val="none"/>
          <w:u w:val="none" w:color="auto"/>
          <w14:textFill>
            <w14:solidFill>
              <w14:schemeClr w14:val="tx1"/>
            </w14:solidFill>
          </w14:textFill>
        </w:rPr>
        <w:t xml:space="preserve"> 【基金要素】</w:t>
      </w:r>
      <w:r>
        <w:rPr>
          <w:rFonts w:eastAsia="仿宋_GB2312"/>
          <w:color w:val="000000" w:themeColor="text1"/>
          <w:sz w:val="32"/>
          <w:szCs w:val="32"/>
          <w:highlight w:val="none"/>
          <w:u w:val="none" w:color="auto"/>
          <w14:textFill>
            <w14:solidFill>
              <w14:schemeClr w14:val="tx1"/>
            </w14:solidFill>
          </w14:textFill>
        </w:rPr>
        <w:t>政府投资基金组建方案</w:t>
      </w:r>
      <w:r>
        <w:rPr>
          <w:rFonts w:hint="eastAsia" w:eastAsia="仿宋_GB2312"/>
          <w:color w:val="000000" w:themeColor="text1"/>
          <w:sz w:val="32"/>
          <w:szCs w:val="32"/>
          <w:highlight w:val="none"/>
          <w:u w:val="none" w:color="auto"/>
          <w14:textFill>
            <w14:solidFill>
              <w14:schemeClr w14:val="tx1"/>
            </w14:solidFill>
          </w14:textFill>
        </w:rPr>
        <w:t>应</w:t>
      </w:r>
      <w:r>
        <w:rPr>
          <w:rFonts w:eastAsia="仿宋_GB2312"/>
          <w:color w:val="000000" w:themeColor="text1"/>
          <w:sz w:val="32"/>
          <w:szCs w:val="32"/>
          <w:highlight w:val="none"/>
          <w:u w:val="none" w:color="auto"/>
          <w14:textFill>
            <w14:solidFill>
              <w14:schemeClr w14:val="tx1"/>
            </w14:solidFill>
          </w14:textFill>
        </w:rPr>
        <w:t>细化明确基金的设立绩效目标、投向领域、募投规模、出资结构、存续期限、投资方式、收益分配、</w:t>
      </w:r>
      <w:r>
        <w:rPr>
          <w:rFonts w:hint="eastAsia" w:eastAsia="仿宋_GB2312"/>
          <w:color w:val="000000" w:themeColor="text1"/>
          <w:sz w:val="32"/>
          <w:szCs w:val="32"/>
          <w:highlight w:val="none"/>
          <w:u w:val="none" w:color="auto"/>
          <w14:textFill>
            <w14:solidFill>
              <w14:schemeClr w14:val="tx1"/>
            </w14:solidFill>
          </w14:textFill>
        </w:rPr>
        <w:t>退出方式、管理费用、</w:t>
      </w:r>
      <w:r>
        <w:rPr>
          <w:rFonts w:eastAsia="仿宋_GB2312"/>
          <w:color w:val="000000" w:themeColor="text1"/>
          <w:sz w:val="32"/>
          <w:szCs w:val="32"/>
          <w:highlight w:val="none"/>
          <w:u w:val="none" w:color="auto"/>
          <w14:textFill>
            <w14:solidFill>
              <w14:schemeClr w14:val="tx1"/>
            </w14:solidFill>
          </w14:textFill>
        </w:rPr>
        <w:t>风险防控措施等关键要素。</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 xml:space="preserve">第九条 </w:t>
      </w:r>
      <w:r>
        <w:rPr>
          <w:rFonts w:eastAsia="仿宋_GB2312"/>
          <w:b/>
          <w:bCs/>
          <w:color w:val="000000" w:themeColor="text1"/>
          <w:sz w:val="32"/>
          <w:szCs w:val="32"/>
          <w:highlight w:val="none"/>
          <w:u w:val="none" w:color="auto"/>
          <w14:textFill>
            <w14:solidFill>
              <w14:schemeClr w14:val="tx1"/>
            </w14:solidFill>
          </w14:textFill>
        </w:rPr>
        <w:t>【机构遴选】</w:t>
      </w:r>
      <w:r>
        <w:rPr>
          <w:rFonts w:eastAsia="仿宋_GB2312"/>
          <w:color w:val="000000" w:themeColor="text1"/>
          <w:sz w:val="32"/>
          <w:szCs w:val="32"/>
          <w:highlight w:val="none"/>
          <w:u w:val="none" w:color="auto"/>
          <w14:textFill>
            <w14:solidFill>
              <w14:schemeClr w14:val="tx1"/>
            </w14:solidFill>
          </w14:textFill>
        </w:rPr>
        <w:t>政府投资基金原则上采取遴选</w:t>
      </w:r>
      <w:r>
        <w:rPr>
          <w:rFonts w:hint="eastAsia" w:eastAsia="仿宋_GB2312"/>
          <w:color w:val="000000" w:themeColor="text1"/>
          <w:sz w:val="32"/>
          <w:szCs w:val="32"/>
          <w:highlight w:val="none"/>
          <w:u w:val="none" w:color="auto"/>
          <w14:textFill>
            <w14:solidFill>
              <w14:schemeClr w14:val="tx1"/>
            </w14:solidFill>
          </w14:textFill>
        </w:rPr>
        <w:t>、竞争性磋商</w:t>
      </w:r>
      <w:r>
        <w:rPr>
          <w:rFonts w:eastAsia="仿宋_GB2312"/>
          <w:color w:val="000000" w:themeColor="text1"/>
          <w:sz w:val="32"/>
          <w:szCs w:val="32"/>
          <w:highlight w:val="none"/>
          <w:u w:val="none" w:color="auto"/>
          <w14:textFill>
            <w14:solidFill>
              <w14:schemeClr w14:val="tx1"/>
            </w14:solidFill>
          </w14:textFill>
        </w:rPr>
        <w:t>等方式确定符合资质条件的受托管理机构、基金管理人及托管银行，设立公司制、有限合伙制</w:t>
      </w:r>
      <w:r>
        <w:rPr>
          <w:rFonts w:hint="eastAsia" w:eastAsia="仿宋_GB2312"/>
          <w:color w:val="000000" w:themeColor="text1"/>
          <w:sz w:val="32"/>
          <w:szCs w:val="32"/>
          <w:highlight w:val="none"/>
          <w:u w:val="none" w:color="auto"/>
          <w14:textFill>
            <w14:solidFill>
              <w14:schemeClr w14:val="tx1"/>
            </w14:solidFill>
          </w14:textFill>
        </w:rPr>
        <w:t>或</w:t>
      </w:r>
      <w:r>
        <w:rPr>
          <w:rFonts w:eastAsia="仿宋_GB2312"/>
          <w:color w:val="000000" w:themeColor="text1"/>
          <w:sz w:val="32"/>
          <w:szCs w:val="32"/>
          <w:highlight w:val="none"/>
          <w:u w:val="none" w:color="auto"/>
          <w14:textFill>
            <w14:solidFill>
              <w14:schemeClr w14:val="tx1"/>
            </w14:solidFill>
          </w14:textFill>
        </w:rPr>
        <w:t>契约制等实体，做到所有权、管理权、托管权分立</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相关机构按照有关法律法规及协议约定参与基金管理相关环节（详见附件1）。</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 xml:space="preserve">【到期退出】 </w:t>
      </w:r>
      <w:r>
        <w:rPr>
          <w:rFonts w:eastAsia="仿宋_GB2312"/>
          <w:color w:val="000000" w:themeColor="text1"/>
          <w:sz w:val="32"/>
          <w:szCs w:val="32"/>
          <w:highlight w:val="none"/>
          <w:u w:val="none" w:color="auto"/>
          <w14:textFill>
            <w14:solidFill>
              <w14:schemeClr w14:val="tx1"/>
            </w14:solidFill>
          </w14:textFill>
        </w:rPr>
        <w:t>政府投资基金在存续期</w:t>
      </w:r>
      <w:r>
        <w:rPr>
          <w:rFonts w:hint="eastAsia" w:eastAsia="仿宋_GB2312"/>
          <w:color w:val="000000" w:themeColor="text1"/>
          <w:sz w:val="32"/>
          <w:szCs w:val="32"/>
          <w:highlight w:val="none"/>
          <w:u w:val="none" w:color="auto"/>
          <w14:textFill>
            <w14:solidFill>
              <w14:schemeClr w14:val="tx1"/>
            </w14:solidFill>
          </w14:textFill>
        </w:rPr>
        <w:t>届</w:t>
      </w:r>
      <w:r>
        <w:rPr>
          <w:rFonts w:eastAsia="仿宋_GB2312"/>
          <w:color w:val="000000" w:themeColor="text1"/>
          <w:sz w:val="32"/>
          <w:szCs w:val="32"/>
          <w:highlight w:val="none"/>
          <w:u w:val="none" w:color="auto"/>
          <w14:textFill>
            <w14:solidFill>
              <w14:schemeClr w14:val="tx1"/>
            </w14:solidFill>
          </w14:textFill>
        </w:rPr>
        <w:t>满后终止</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确需延长存续期限的，报经同级政府批准后，与其他出资方按章程</w:t>
      </w:r>
      <w:r>
        <w:rPr>
          <w:rFonts w:hint="eastAsia" w:eastAsia="仿宋_GB2312"/>
          <w:color w:val="000000" w:themeColor="text1"/>
          <w:sz w:val="32"/>
          <w:szCs w:val="32"/>
          <w:highlight w:val="none"/>
          <w:u w:val="none" w:color="auto"/>
          <w14:textFill>
            <w14:solidFill>
              <w14:schemeClr w14:val="tx1"/>
            </w14:solidFill>
          </w14:textFill>
        </w:rPr>
        <w:t>或合伙协议</w:t>
      </w:r>
      <w:r>
        <w:rPr>
          <w:rFonts w:eastAsia="仿宋_GB2312"/>
          <w:color w:val="000000" w:themeColor="text1"/>
          <w:sz w:val="32"/>
          <w:szCs w:val="32"/>
          <w:highlight w:val="none"/>
          <w:u w:val="none" w:color="auto"/>
          <w14:textFill>
            <w14:solidFill>
              <w14:schemeClr w14:val="tx1"/>
            </w14:solidFill>
          </w14:textFill>
        </w:rPr>
        <w:t>约定的程序办理。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各有关部门应当</w:t>
      </w:r>
      <w:r>
        <w:rPr>
          <w:rFonts w:hint="eastAsia" w:eastAsia="仿宋_GB2312"/>
          <w:color w:val="000000" w:themeColor="text1"/>
          <w:sz w:val="32"/>
          <w:szCs w:val="32"/>
          <w:highlight w:val="none"/>
          <w:u w:val="none" w:color="auto"/>
          <w14:textFill>
            <w14:solidFill>
              <w14:schemeClr w14:val="tx1"/>
            </w14:solidFill>
          </w14:textFill>
        </w:rPr>
        <w:t>优化基金项目退出流程、基金份额转让业务流程和定价机制，</w:t>
      </w:r>
      <w:r>
        <w:rPr>
          <w:rFonts w:eastAsia="仿宋_GB2312"/>
          <w:color w:val="000000" w:themeColor="text1"/>
          <w:sz w:val="32"/>
          <w:szCs w:val="32"/>
          <w:highlight w:val="none"/>
          <w:u w:val="none" w:color="auto"/>
          <w14:textFill>
            <w14:solidFill>
              <w14:schemeClr w14:val="tx1"/>
            </w14:solidFill>
          </w14:textFill>
        </w:rPr>
        <w:t>支持基金依法有序退出，保护</w:t>
      </w:r>
      <w:r>
        <w:rPr>
          <w:rFonts w:hint="eastAsia" w:eastAsia="仿宋_GB2312"/>
          <w:color w:val="000000" w:themeColor="text1"/>
          <w:sz w:val="32"/>
          <w:szCs w:val="32"/>
          <w:highlight w:val="none"/>
          <w:u w:val="none" w:color="auto"/>
          <w14:textFill>
            <w14:solidFill>
              <w14:schemeClr w14:val="tx1"/>
            </w14:solidFill>
          </w14:textFill>
        </w:rPr>
        <w:t>各出资人的</w:t>
      </w:r>
      <w:r>
        <w:rPr>
          <w:rFonts w:eastAsia="仿宋_GB2312"/>
          <w:color w:val="000000" w:themeColor="text1"/>
          <w:sz w:val="32"/>
          <w:szCs w:val="32"/>
          <w:highlight w:val="none"/>
          <w:u w:val="none" w:color="auto"/>
          <w14:textFill>
            <w14:solidFill>
              <w14:schemeClr w14:val="tx1"/>
            </w14:solidFill>
          </w14:textFill>
        </w:rPr>
        <w:t>合法权益。</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b/>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第十一条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【提前退出】</w:t>
      </w:r>
      <w:r>
        <w:rPr>
          <w:rFonts w:eastAsia="仿宋_GB2312"/>
          <w:color w:val="000000" w:themeColor="text1"/>
          <w:sz w:val="32"/>
          <w:szCs w:val="32"/>
          <w:highlight w:val="none"/>
          <w:u w:val="none" w:color="auto"/>
          <w14:textFill>
            <w14:solidFill>
              <w14:schemeClr w14:val="tx1"/>
            </w14:solidFill>
          </w14:textFill>
        </w:rPr>
        <w:t>基金存续期满前达到退出条件的，</w:t>
      </w:r>
      <w:r>
        <w:rPr>
          <w:rFonts w:hint="eastAsia" w:eastAsia="仿宋_GB2312"/>
          <w:color w:val="000000" w:themeColor="text1"/>
          <w:sz w:val="32"/>
          <w:szCs w:val="32"/>
          <w:highlight w:val="none"/>
          <w:u w:val="none" w:color="auto"/>
          <w14:textFill>
            <w14:solidFill>
              <w14:schemeClr w14:val="tx1"/>
            </w14:solidFill>
          </w14:textFill>
        </w:rPr>
        <w:t>经各出资人同意，</w:t>
      </w:r>
      <w:r>
        <w:rPr>
          <w:rFonts w:eastAsia="仿宋_GB2312"/>
          <w:color w:val="000000" w:themeColor="text1"/>
          <w:sz w:val="32"/>
          <w:szCs w:val="32"/>
          <w:highlight w:val="none"/>
          <w:u w:val="none" w:color="auto"/>
          <w14:textFill>
            <w14:solidFill>
              <w14:schemeClr w14:val="tx1"/>
            </w14:solidFill>
          </w14:textFill>
        </w:rPr>
        <w:t>可通过回购、转让等方式适时退出。</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政府投资基金章程或合伙协议中事先约定有以下情况之一的，政府出资部分可选择提前退出：</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（一）基金组建方案确认后超过一年，仍未按规定程序和时间要求完成基金设立手续的；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（二）政府出资拨付到基金账户一年以上，基金未开展投资业务的；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（三）基金投资领域和方向不符合政策目标的；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（四）基金未按</w:t>
      </w:r>
      <w:r>
        <w:rPr>
          <w:rFonts w:hint="eastAsia" w:eastAsia="仿宋_GB2312"/>
          <w:color w:val="000000" w:themeColor="text1"/>
          <w:sz w:val="32"/>
          <w:szCs w:val="32"/>
          <w:highlight w:val="none"/>
          <w:u w:val="none" w:color="auto"/>
          <w14:textFill>
            <w14:solidFill>
              <w14:schemeClr w14:val="tx1"/>
            </w14:solidFill>
          </w14:textFill>
        </w:rPr>
        <w:t>章程或协议</w:t>
      </w:r>
      <w:r>
        <w:rPr>
          <w:rFonts w:eastAsia="仿宋_GB2312"/>
          <w:color w:val="000000" w:themeColor="text1"/>
          <w:sz w:val="32"/>
          <w:szCs w:val="32"/>
          <w:highlight w:val="none"/>
          <w:u w:val="none" w:color="auto"/>
          <w14:textFill>
            <w14:solidFill>
              <w14:schemeClr w14:val="tx1"/>
            </w14:solidFill>
          </w14:textFill>
        </w:rPr>
        <w:t>约定投资的；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（五）其他不符合</w:t>
      </w:r>
      <w:r>
        <w:rPr>
          <w:rFonts w:hint="eastAsia" w:eastAsia="仿宋_GB2312"/>
          <w:color w:val="000000" w:themeColor="text1"/>
          <w:sz w:val="32"/>
          <w:szCs w:val="32"/>
          <w:highlight w:val="none"/>
          <w:u w:val="none" w:color="auto"/>
          <w14:textFill>
            <w14:solidFill>
              <w14:schemeClr w14:val="tx1"/>
            </w14:solidFill>
          </w14:textFill>
        </w:rPr>
        <w:t>章程或协议</w:t>
      </w:r>
      <w:r>
        <w:rPr>
          <w:rFonts w:eastAsia="仿宋_GB2312"/>
          <w:color w:val="000000" w:themeColor="text1"/>
          <w:sz w:val="32"/>
          <w:szCs w:val="32"/>
          <w:highlight w:val="none"/>
          <w:u w:val="none" w:color="auto"/>
          <w14:textFill>
            <w14:solidFill>
              <w14:schemeClr w14:val="tx1"/>
            </w14:solidFill>
          </w14:textFill>
        </w:rPr>
        <w:t>约定情形的。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第十二条</w:t>
      </w:r>
      <w:r>
        <w:rPr>
          <w:rFonts w:hint="eastAsia" w:ascii="黑体" w:hAnsi="黑体" w:eastAsia="黑体" w:cs="黑体"/>
          <w:b w:val="0"/>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【退出定价】</w:t>
      </w:r>
      <w:r>
        <w:rPr>
          <w:rFonts w:eastAsia="仿宋_GB2312"/>
          <w:color w:val="000000" w:themeColor="text1"/>
          <w:sz w:val="32"/>
          <w:szCs w:val="32"/>
          <w:highlight w:val="none"/>
          <w:u w:val="none" w:color="auto"/>
          <w14:textFill>
            <w14:solidFill>
              <w14:schemeClr w14:val="tx1"/>
            </w14:solidFill>
          </w14:textFill>
        </w:rPr>
        <w:t xml:space="preserve"> 政府出资从投资基金退出时，按照章程或合伙协议约定的条件退出；没有约定的，</w:t>
      </w:r>
      <w:r>
        <w:rPr>
          <w:rFonts w:hint="eastAsia" w:eastAsia="仿宋_GB2312"/>
          <w:color w:val="000000" w:themeColor="text1"/>
          <w:sz w:val="32"/>
          <w:szCs w:val="32"/>
          <w:highlight w:val="none"/>
          <w:u w:val="none" w:color="auto"/>
          <w14:textFill>
            <w14:solidFill>
              <w14:schemeClr w14:val="tx1"/>
            </w14:solidFill>
          </w14:textFill>
        </w:rPr>
        <w:t>可通过私募股权份额转让、并购等</w:t>
      </w:r>
      <w:r>
        <w:rPr>
          <w:rFonts w:eastAsia="仿宋_GB2312"/>
          <w:color w:val="000000" w:themeColor="text1"/>
          <w:sz w:val="32"/>
          <w:szCs w:val="32"/>
          <w:highlight w:val="none"/>
          <w:u w:val="none" w:color="auto"/>
          <w14:textFill>
            <w14:solidFill>
              <w14:schemeClr w14:val="tx1"/>
            </w14:solidFill>
          </w14:textFill>
        </w:rPr>
        <w:t>市场化方式确定转让</w:t>
      </w:r>
      <w:r>
        <w:rPr>
          <w:rFonts w:hint="eastAsia" w:eastAsia="仿宋_GB2312"/>
          <w:color w:val="000000" w:themeColor="text1"/>
          <w:sz w:val="32"/>
          <w:szCs w:val="32"/>
          <w:highlight w:val="none"/>
          <w:u w:val="none" w:color="auto"/>
          <w14:textFill>
            <w14:solidFill>
              <w14:schemeClr w14:val="tx1"/>
            </w14:solidFill>
          </w14:textFill>
        </w:rPr>
        <w:t>价格。</w:t>
      </w:r>
    </w:p>
    <w:p>
      <w:pPr>
        <w:keepNext w:val="0"/>
        <w:keepLines w:val="0"/>
        <w:pageBreakBefore w:val="0"/>
        <w:widowControl w:val="0"/>
        <w:numPr>
          <w:ilvl w:val="255"/>
          <w:numId w:val="0"/>
        </w:numPr>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第十三条</w:t>
      </w:r>
      <w:r>
        <w:rPr>
          <w:rFonts w:hint="eastAsia" w:ascii="黑体" w:hAnsi="黑体" w:eastAsia="黑体" w:cs="黑体"/>
          <w:b w:val="0"/>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【基金清算】</w:t>
      </w:r>
      <w:r>
        <w:rPr>
          <w:rFonts w:hint="eastAsia" w:eastAsia="仿宋_GB2312"/>
          <w:color w:val="000000" w:themeColor="text1"/>
          <w:sz w:val="32"/>
          <w:szCs w:val="32"/>
          <w:highlight w:val="none"/>
          <w:u w:val="none" w:color="auto"/>
          <w14:textFill>
            <w14:solidFill>
              <w14:schemeClr w14:val="tx1"/>
            </w14:solidFill>
          </w14:textFill>
        </w:rPr>
        <w:t>政府投资基金存续期届满后，</w:t>
      </w:r>
      <w:r>
        <w:rPr>
          <w:rFonts w:hint="eastAsia" w:eastAsia="仿宋_GB2312"/>
          <w:color w:val="000000" w:themeColor="text1"/>
          <w:sz w:val="32"/>
          <w:szCs w:val="32"/>
          <w:highlight w:val="none"/>
          <w:u w:val="none" w:color="auto"/>
          <w:lang w:val="en-US" w:eastAsia="zh-CN"/>
          <w14:textFill>
            <w14:solidFill>
              <w14:schemeClr w14:val="tx1"/>
            </w14:solidFill>
          </w14:textFill>
        </w:rPr>
        <w:t>由</w:t>
      </w:r>
      <w:r>
        <w:rPr>
          <w:rFonts w:eastAsia="仿宋_GB2312"/>
          <w:color w:val="000000" w:themeColor="text1"/>
          <w:sz w:val="32"/>
          <w:szCs w:val="32"/>
          <w:highlight w:val="none"/>
          <w:u w:val="none" w:color="auto"/>
          <w14:textFill>
            <w14:solidFill>
              <w14:schemeClr w14:val="tx1"/>
            </w14:solidFill>
          </w14:textFill>
        </w:rPr>
        <w:t>出资人监督组织清算，归属政府出资部分的本金和收益按照财政国库管理制度有关规定及时足额上缴国库。经清算后仍有未变现资</w:t>
      </w:r>
      <w:r>
        <w:rPr>
          <w:rFonts w:eastAsia="仿宋_GB2312"/>
          <w:color w:val="000000" w:themeColor="text1"/>
          <w:spacing w:val="-11"/>
          <w:sz w:val="32"/>
          <w:szCs w:val="32"/>
          <w:highlight w:val="none"/>
          <w:u w:val="none" w:color="auto"/>
          <w14:textFill>
            <w14:solidFill>
              <w14:schemeClr w14:val="tx1"/>
            </w14:solidFill>
          </w14:textFill>
        </w:rPr>
        <w:t>产的</w:t>
      </w:r>
      <w:r>
        <w:rPr>
          <w:rFonts w:hint="eastAsia" w:eastAsia="仿宋_GB2312"/>
          <w:color w:val="000000" w:themeColor="text1"/>
          <w:spacing w:val="-11"/>
          <w:sz w:val="32"/>
          <w:szCs w:val="32"/>
          <w:highlight w:val="none"/>
          <w:u w:val="none" w:color="auto"/>
          <w14:textFill>
            <w14:solidFill>
              <w14:schemeClr w14:val="tx1"/>
            </w14:solidFill>
          </w14:textFill>
        </w:rPr>
        <w:t>，鼓励</w:t>
      </w:r>
      <w:r>
        <w:rPr>
          <w:rFonts w:eastAsia="仿宋_GB2312"/>
          <w:color w:val="000000" w:themeColor="text1"/>
          <w:spacing w:val="-11"/>
          <w:sz w:val="32"/>
          <w:szCs w:val="32"/>
          <w:highlight w:val="none"/>
          <w:u w:val="none" w:color="auto"/>
          <w14:textFill>
            <w14:solidFill>
              <w14:schemeClr w14:val="tx1"/>
            </w14:solidFill>
          </w14:textFill>
        </w:rPr>
        <w:t>分类采取</w:t>
      </w:r>
      <w:r>
        <w:rPr>
          <w:rFonts w:hint="eastAsia" w:eastAsia="仿宋_GB2312"/>
          <w:color w:val="000000" w:themeColor="text1"/>
          <w:spacing w:val="-11"/>
          <w:sz w:val="32"/>
          <w:szCs w:val="32"/>
          <w:highlight w:val="none"/>
          <w:u w:val="none" w:color="auto"/>
          <w14:textFill>
            <w14:solidFill>
              <w14:schemeClr w14:val="tx1"/>
            </w14:solidFill>
          </w14:textFill>
        </w:rPr>
        <w:t>现状</w:t>
      </w:r>
      <w:r>
        <w:rPr>
          <w:rFonts w:eastAsia="仿宋_GB2312"/>
          <w:color w:val="000000" w:themeColor="text1"/>
          <w:spacing w:val="-11"/>
          <w:sz w:val="32"/>
          <w:szCs w:val="32"/>
          <w:highlight w:val="none"/>
          <w:u w:val="none" w:color="auto"/>
          <w14:textFill>
            <w14:solidFill>
              <w14:schemeClr w14:val="tx1"/>
            </w14:solidFill>
          </w14:textFill>
        </w:rPr>
        <w:t>分配</w:t>
      </w:r>
      <w:r>
        <w:rPr>
          <w:rFonts w:hint="eastAsia" w:eastAsia="仿宋_GB2312"/>
          <w:color w:val="000000" w:themeColor="text1"/>
          <w:spacing w:val="-11"/>
          <w:sz w:val="32"/>
          <w:szCs w:val="32"/>
          <w:highlight w:val="none"/>
          <w:u w:val="none" w:color="auto"/>
          <w14:textFill>
            <w14:solidFill>
              <w14:schemeClr w14:val="tx1"/>
            </w14:solidFill>
          </w14:textFill>
        </w:rPr>
        <w:t>、划</w:t>
      </w:r>
      <w:r>
        <w:rPr>
          <w:rFonts w:eastAsia="仿宋_GB2312"/>
          <w:color w:val="000000" w:themeColor="text1"/>
          <w:spacing w:val="-11"/>
          <w:sz w:val="32"/>
          <w:szCs w:val="32"/>
          <w:highlight w:val="none"/>
          <w:u w:val="none" w:color="auto"/>
          <w14:textFill>
            <w14:solidFill>
              <w14:schemeClr w14:val="tx1"/>
            </w14:solidFill>
          </w14:textFill>
        </w:rPr>
        <w:t>转</w:t>
      </w:r>
      <w:r>
        <w:rPr>
          <w:rFonts w:hint="eastAsia" w:eastAsia="仿宋_GB2312"/>
          <w:color w:val="000000" w:themeColor="text1"/>
          <w:spacing w:val="-11"/>
          <w:sz w:val="32"/>
          <w:szCs w:val="32"/>
          <w:highlight w:val="none"/>
          <w:u w:val="none" w:color="auto"/>
          <w14:textFill>
            <w14:solidFill>
              <w14:schemeClr w14:val="tx1"/>
            </w14:solidFill>
          </w14:textFill>
        </w:rPr>
        <w:t>指定机构代持</w:t>
      </w:r>
      <w:r>
        <w:rPr>
          <w:rFonts w:eastAsia="仿宋_GB2312"/>
          <w:color w:val="000000" w:themeColor="text1"/>
          <w:spacing w:val="-11"/>
          <w:sz w:val="32"/>
          <w:szCs w:val="32"/>
          <w:highlight w:val="none"/>
          <w:u w:val="none" w:color="auto"/>
          <w14:textFill>
            <w14:solidFill>
              <w14:schemeClr w14:val="tx1"/>
            </w14:solidFill>
          </w14:textFill>
        </w:rPr>
        <w:t>等方式予以处置。</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eastAsia="仿宋_GB2312"/>
          <w:color w:val="000000" w:themeColor="text1"/>
          <w:sz w:val="32"/>
          <w:szCs w:val="32"/>
          <w:highlight w:val="none"/>
          <w:u w:val="none" w:color="auto"/>
          <w14:textFill>
            <w14:solidFill>
              <w14:schemeClr w14:val="tx1"/>
            </w14:solidFill>
          </w14:textFill>
        </w:rPr>
        <w:t>注资国有企业方式设立基金的，回收的本金和收益原则上优先用于滚动投资或落实党委、政府部署的其他政策性任务，具体用途由有关企业按程序报同级财政部门和业务主管部门审批。</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1"/>
        <w:jc w:val="both"/>
        <w:textAlignment w:val="auto"/>
        <w:outlineLvl w:val="0"/>
        <w:rPr>
          <w:rFonts w:eastAsia="仿宋_GB2312"/>
          <w:color w:val="000000" w:themeColor="text1"/>
          <w:sz w:val="32"/>
          <w:szCs w:val="32"/>
          <w:highlight w:val="none"/>
          <w:u w:val="none" w:color="auto"/>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val="0"/>
        <w:spacing w:line="360" w:lineRule="auto"/>
        <w:ind w:left="0" w:leftChars="0" w:right="0" w:rightChars="0"/>
        <w:jc w:val="center"/>
        <w:textAlignment w:val="auto"/>
        <w:outlineLvl w:val="0"/>
        <w:rPr>
          <w:rFonts w:eastAsia="黑体"/>
          <w:color w:val="000000" w:themeColor="text1"/>
          <w:sz w:val="32"/>
          <w:szCs w:val="32"/>
          <w:highlight w:val="none"/>
          <w:u w:val="none" w:color="auto"/>
          <w14:textFill>
            <w14:solidFill>
              <w14:schemeClr w14:val="tx1"/>
            </w14:solidFill>
          </w14:textFill>
        </w:rPr>
      </w:pPr>
      <w:r>
        <w:rPr>
          <w:rFonts w:hint="eastAsia" w:eastAsia="黑体"/>
          <w:color w:val="000000" w:themeColor="text1"/>
          <w:sz w:val="32"/>
          <w:szCs w:val="32"/>
          <w:highlight w:val="none"/>
          <w:u w:val="none" w:color="auto"/>
          <w14:textFill>
            <w14:solidFill>
              <w14:schemeClr w14:val="tx1"/>
            </w14:solidFill>
          </w14:textFill>
        </w:rPr>
        <w:t>基金</w:t>
      </w:r>
      <w:r>
        <w:rPr>
          <w:rFonts w:eastAsia="黑体"/>
          <w:color w:val="000000" w:themeColor="text1"/>
          <w:sz w:val="32"/>
          <w:szCs w:val="32"/>
          <w:highlight w:val="none"/>
          <w:u w:val="none" w:color="auto"/>
          <w14:textFill>
            <w14:solidFill>
              <w14:schemeClr w14:val="tx1"/>
            </w14:solidFill>
          </w14:textFill>
        </w:rPr>
        <w:t>管理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b/>
          <w:bCs/>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第十四条</w:t>
      </w:r>
      <w:r>
        <w:rPr>
          <w:rFonts w:eastAsia="仿宋_GB2312"/>
          <w:b/>
          <w:bCs/>
          <w:color w:val="000000" w:themeColor="text1"/>
          <w:sz w:val="32"/>
          <w:szCs w:val="32"/>
          <w:highlight w:val="none"/>
          <w:u w:val="none" w:color="auto"/>
          <w14:textFill>
            <w14:solidFill>
              <w14:schemeClr w14:val="tx1"/>
            </w14:solidFill>
          </w14:textFill>
        </w:rPr>
        <w:t xml:space="preserve"> 【投向布局】</w:t>
      </w:r>
      <w:r>
        <w:rPr>
          <w:rFonts w:eastAsia="仿宋_GB2312"/>
          <w:color w:val="000000" w:themeColor="text1"/>
          <w:sz w:val="32"/>
          <w:szCs w:val="32"/>
          <w:highlight w:val="none"/>
          <w:u w:val="none" w:color="auto"/>
          <w14:textFill>
            <w14:solidFill>
              <w14:schemeClr w14:val="tx1"/>
            </w14:solidFill>
          </w14:textFill>
        </w:rPr>
        <w:t>省级加强全省政府投资基金投向统筹，</w:t>
      </w:r>
      <w:r>
        <w:rPr>
          <w:rFonts w:eastAsia="仿宋_GB2312"/>
          <w:color w:val="000000" w:themeColor="text1"/>
          <w:sz w:val="32"/>
          <w:szCs w:val="32"/>
          <w:highlight w:val="none"/>
          <w:u w:val="none" w:color="auto"/>
          <w:shd w:val="clear" w:color="auto" w:fill="FFFFFF"/>
          <w14:textFill>
            <w14:solidFill>
              <w14:schemeClr w14:val="tx1"/>
            </w14:solidFill>
          </w14:textFill>
        </w:rPr>
        <w:t>省发展改革委会同相关部门结合国家及省的发展规划、专项规划、区域规划，制定政府投资基金重点领域投资清单</w:t>
      </w:r>
      <w:bookmarkStart w:id="0" w:name="_GoBack"/>
      <w:bookmarkEnd w:id="0"/>
      <w:r>
        <w:rPr>
          <w:rFonts w:eastAsia="仿宋_GB2312"/>
          <w:color w:val="000000" w:themeColor="text1"/>
          <w:sz w:val="32"/>
          <w:szCs w:val="32"/>
          <w:highlight w:val="none"/>
          <w:u w:val="none" w:color="auto"/>
          <w14:textFill>
            <w14:solidFill>
              <w14:schemeClr w14:val="tx1"/>
            </w14:solidFill>
          </w14:textFill>
        </w:rPr>
        <w:t>，报省政府批准后印发实施。</w:t>
      </w:r>
      <w:r>
        <w:rPr>
          <w:rFonts w:eastAsia="仿宋_GB2312"/>
          <w:color w:val="000000" w:themeColor="text1"/>
          <w:sz w:val="32"/>
          <w:szCs w:val="32"/>
          <w:highlight w:val="none"/>
          <w:u w:val="none" w:color="auto"/>
          <w:shd w:val="clear" w:color="auto" w:fill="FFFFFF"/>
          <w14:textFill>
            <w14:solidFill>
              <w14:schemeClr w14:val="tx1"/>
            </w14:solidFill>
          </w14:textFill>
        </w:rPr>
        <w:t>重点领域投资清单</w:t>
      </w:r>
      <w:r>
        <w:rPr>
          <w:rFonts w:eastAsia="仿宋_GB2312"/>
          <w:color w:val="000000" w:themeColor="text1"/>
          <w:sz w:val="32"/>
          <w:szCs w:val="32"/>
          <w:highlight w:val="none"/>
          <w:u w:val="none" w:color="auto"/>
          <w14:textFill>
            <w14:solidFill>
              <w14:schemeClr w14:val="tx1"/>
            </w14:solidFill>
          </w14:textFill>
        </w:rPr>
        <w:t>保持相对稳定，结合国家和省有关部署适时更新。</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各级政府对照重点领域投资清单合理</w:t>
      </w:r>
      <w:r>
        <w:rPr>
          <w:rFonts w:hint="eastAsia" w:eastAsia="仿宋_GB2312"/>
          <w:color w:val="000000" w:themeColor="text1"/>
          <w:sz w:val="32"/>
          <w:szCs w:val="32"/>
          <w:highlight w:val="none"/>
          <w:u w:val="none" w:color="auto"/>
          <w14:textFill>
            <w14:solidFill>
              <w14:schemeClr w14:val="tx1"/>
            </w14:solidFill>
          </w14:textFill>
        </w:rPr>
        <w:t>规划</w:t>
      </w:r>
      <w:r>
        <w:rPr>
          <w:rFonts w:eastAsia="仿宋_GB2312"/>
          <w:color w:val="000000" w:themeColor="text1"/>
          <w:sz w:val="32"/>
          <w:szCs w:val="32"/>
          <w:highlight w:val="none"/>
          <w:u w:val="none" w:color="auto"/>
          <w14:textFill>
            <w14:solidFill>
              <w14:schemeClr w14:val="tx1"/>
            </w14:solidFill>
          </w14:textFill>
        </w:rPr>
        <w:t>本地区政府投资基金</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鼓励上下级政府、市县同级政府之间按照市场化原则</w:t>
      </w:r>
      <w:r>
        <w:rPr>
          <w:rFonts w:hint="eastAsia" w:eastAsia="仿宋_GB2312"/>
          <w:color w:val="000000" w:themeColor="text1"/>
          <w:sz w:val="32"/>
          <w:szCs w:val="32"/>
          <w:highlight w:val="none"/>
          <w:u w:val="none" w:color="auto"/>
          <w14:textFill>
            <w14:solidFill>
              <w14:schemeClr w14:val="tx1"/>
            </w14:solidFill>
          </w14:textFill>
        </w:rPr>
        <w:t>联合设立</w:t>
      </w:r>
      <w:r>
        <w:rPr>
          <w:rFonts w:eastAsia="仿宋_GB2312"/>
          <w:color w:val="000000" w:themeColor="text1"/>
          <w:sz w:val="32"/>
          <w:szCs w:val="32"/>
          <w:highlight w:val="none"/>
          <w:u w:val="none" w:color="auto"/>
          <w14:textFill>
            <w14:solidFill>
              <w14:schemeClr w14:val="tx1"/>
            </w14:solidFill>
          </w14:textFill>
        </w:rPr>
        <w:t>基金，形成出资合力。</w:t>
      </w:r>
      <w:r>
        <w:rPr>
          <w:rFonts w:hint="eastAsia" w:eastAsia="仿宋_GB2312"/>
          <w:color w:val="000000" w:themeColor="text1"/>
          <w:sz w:val="32"/>
          <w:szCs w:val="32"/>
          <w:highlight w:val="none"/>
          <w:u w:val="none" w:color="auto"/>
          <w14:textFill>
            <w14:solidFill>
              <w14:schemeClr w14:val="tx1"/>
            </w14:solidFill>
          </w14:textFill>
        </w:rPr>
        <w:t>同一政府</w:t>
      </w:r>
      <w:r>
        <w:rPr>
          <w:rFonts w:eastAsia="仿宋_GB2312"/>
          <w:color w:val="000000" w:themeColor="text1"/>
          <w:sz w:val="32"/>
          <w:szCs w:val="32"/>
          <w:highlight w:val="none"/>
          <w:u w:val="none" w:color="auto"/>
          <w14:textFill>
            <w14:solidFill>
              <w14:schemeClr w14:val="tx1"/>
            </w14:solidFill>
          </w14:textFill>
        </w:rPr>
        <w:t>原则上不在同一行业或领域</w:t>
      </w:r>
      <w:r>
        <w:rPr>
          <w:rFonts w:hint="eastAsia" w:eastAsia="仿宋_GB2312"/>
          <w:color w:val="000000" w:themeColor="text1"/>
          <w:sz w:val="32"/>
          <w:szCs w:val="32"/>
          <w:highlight w:val="none"/>
          <w:u w:val="none" w:color="auto"/>
          <w14:textFill>
            <w14:solidFill>
              <w14:schemeClr w14:val="tx1"/>
            </w14:solidFill>
          </w14:textFill>
        </w:rPr>
        <w:t>新增</w:t>
      </w:r>
      <w:r>
        <w:rPr>
          <w:rFonts w:eastAsia="仿宋_GB2312"/>
          <w:color w:val="000000" w:themeColor="text1"/>
          <w:sz w:val="32"/>
          <w:szCs w:val="32"/>
          <w:highlight w:val="none"/>
          <w:u w:val="none" w:color="auto"/>
          <w14:textFill>
            <w14:solidFill>
              <w14:schemeClr w14:val="tx1"/>
            </w14:solidFill>
          </w14:textFill>
        </w:rPr>
        <w:t>重复设立同类基金。</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第十五条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【基金存续期】</w:t>
      </w:r>
      <w:r>
        <w:rPr>
          <w:rFonts w:eastAsia="仿宋_GB2312"/>
          <w:color w:val="000000" w:themeColor="text1"/>
          <w:sz w:val="32"/>
          <w:szCs w:val="32"/>
          <w:highlight w:val="none"/>
          <w:u w:val="none" w:color="auto"/>
          <w14:textFill>
            <w14:solidFill>
              <w14:schemeClr w14:val="tx1"/>
            </w14:solidFill>
          </w14:textFill>
        </w:rPr>
        <w:t>合理设置政府投资基金</w:t>
      </w:r>
      <w:r>
        <w:rPr>
          <w:rFonts w:hint="eastAsia" w:eastAsia="仿宋_GB2312"/>
          <w:color w:val="000000" w:themeColor="text1"/>
          <w:sz w:val="32"/>
          <w:szCs w:val="32"/>
          <w:highlight w:val="none"/>
          <w:u w:val="none" w:color="auto"/>
          <w14:textFill>
            <w14:solidFill>
              <w14:schemeClr w14:val="tx1"/>
            </w14:solidFill>
          </w14:textFill>
        </w:rPr>
        <w:t>的</w:t>
      </w:r>
      <w:r>
        <w:rPr>
          <w:rFonts w:eastAsia="仿宋_GB2312"/>
          <w:color w:val="000000" w:themeColor="text1"/>
          <w:sz w:val="32"/>
          <w:szCs w:val="32"/>
          <w:highlight w:val="none"/>
          <w:u w:val="none" w:color="auto"/>
          <w14:textFill>
            <w14:solidFill>
              <w14:schemeClr w14:val="tx1"/>
            </w14:solidFill>
          </w14:textFill>
        </w:rPr>
        <w:t>存续期，结合实际划分投资期和退出期。</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第十六条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【财政出资】</w:t>
      </w:r>
      <w:r>
        <w:rPr>
          <w:rFonts w:eastAsia="仿宋_GB2312"/>
          <w:color w:val="000000" w:themeColor="text1"/>
          <w:sz w:val="32"/>
          <w:szCs w:val="40"/>
          <w:highlight w:val="none"/>
          <w:u w:val="none" w:color="auto"/>
          <w14:textFill>
            <w14:solidFill>
              <w14:schemeClr w14:val="tx1"/>
            </w14:solidFill>
          </w14:textFill>
        </w:rPr>
        <w:t>政府投资基金由财政部门结合基金设立情况、投资进度和财政承受能力，合理确定出资规模、比例和时间安排</w:t>
      </w:r>
      <w:r>
        <w:rPr>
          <w:rFonts w:hint="eastAsia" w:eastAsia="仿宋_GB2312"/>
          <w:color w:val="000000" w:themeColor="text1"/>
          <w:sz w:val="32"/>
          <w:szCs w:val="40"/>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第十七条</w:t>
      </w:r>
      <w:r>
        <w:rPr>
          <w:rFonts w:hint="eastAsia" w:ascii="黑体" w:hAnsi="黑体" w:eastAsia="黑体" w:cs="黑体"/>
          <w:b w:val="0"/>
          <w:bCs/>
          <w:color w:val="000000" w:themeColor="text1"/>
          <w:sz w:val="32"/>
          <w:szCs w:val="32"/>
          <w:highlight w:val="none"/>
          <w:u w:val="none" w:color="auto"/>
          <w:lang w:eastAsia="zh-CN"/>
          <w14:textFill>
            <w14:solidFill>
              <w14:schemeClr w14:val="tx1"/>
            </w14:solidFill>
          </w14:textFill>
        </w:rPr>
        <w:t xml:space="preserve"> </w:t>
      </w:r>
      <w:r>
        <w:rPr>
          <w:rFonts w:hint="eastAsia" w:ascii="黑体" w:hAnsi="黑体" w:eastAsia="黑体" w:cs="黑体"/>
          <w:b w:val="0"/>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w:t>
      </w:r>
      <w:r>
        <w:rPr>
          <w:rFonts w:eastAsia="仿宋_GB2312"/>
          <w:b/>
          <w:color w:val="000000" w:themeColor="text1"/>
          <w:sz w:val="32"/>
          <w:szCs w:val="32"/>
          <w:highlight w:val="none"/>
          <w:u w:val="none" w:color="auto"/>
          <w14:textFill>
            <w14:solidFill>
              <w14:schemeClr w14:val="tx1"/>
            </w14:solidFill>
          </w14:textFill>
        </w:rPr>
        <w:t>资产财务管理】</w:t>
      </w:r>
      <w:r>
        <w:rPr>
          <w:rFonts w:eastAsia="仿宋_GB2312"/>
          <w:color w:val="000000" w:themeColor="text1"/>
          <w:sz w:val="32"/>
          <w:szCs w:val="32"/>
          <w:highlight w:val="none"/>
          <w:u w:val="none" w:color="auto"/>
          <w14:textFill>
            <w14:solidFill>
              <w14:schemeClr w14:val="tx1"/>
            </w14:solidFill>
          </w14:textFill>
        </w:rPr>
        <w:t>政府投资基金实行专账管理，真实、准确反映基金财务状况，严防财务造假。采取注资国有企业设立政府投资基金的，国有企业收到基金本金后，应</w:t>
      </w:r>
      <w:r>
        <w:rPr>
          <w:rFonts w:hint="eastAsia" w:eastAsia="仿宋_GB2312"/>
          <w:color w:val="000000" w:themeColor="text1"/>
          <w:sz w:val="32"/>
          <w:szCs w:val="32"/>
          <w:highlight w:val="none"/>
          <w:u w:val="none" w:color="auto"/>
          <w14:textFill>
            <w14:solidFill>
              <w14:schemeClr w14:val="tx1"/>
            </w14:solidFill>
          </w14:textFill>
        </w:rPr>
        <w:t>及时按会计准则做好账务处理。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各级财政部门按照《财政总会计制度》规定，完整准确反映政府投资基金中政府出资部分形成的资产和权益，向投资基金拨付资金，在增列财政支出的同时，要相应增加政府资产——“股权投资”；基金清算或退出收回投资本金时，应按照政府累计出资额相应冲减政府资产——“股权投资”</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收取政府投资基金上缴投资收益时，相应增加财政收入。</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第十八条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【投资架构】</w:t>
      </w:r>
      <w:r>
        <w:rPr>
          <w:rFonts w:eastAsia="仿宋_GB2312"/>
          <w:color w:val="000000" w:themeColor="text1"/>
          <w:sz w:val="32"/>
          <w:szCs w:val="32"/>
          <w:highlight w:val="none"/>
          <w:u w:val="none" w:color="auto"/>
          <w14:textFill>
            <w14:solidFill>
              <w14:schemeClr w14:val="tx1"/>
            </w14:solidFill>
          </w14:textFill>
        </w:rPr>
        <w:t>政府投资基金可采取母子基金或直投项目方式进行投资。子基金原则上以直投项目（含单项目专项基金）方式进行投资，控制基金层级，防止多层嵌套影响政策目标实现。鼓励创业投资类基金采取母子基金方式</w:t>
      </w:r>
      <w:r>
        <w:rPr>
          <w:rFonts w:hint="eastAsia" w:eastAsia="仿宋_GB2312"/>
          <w:color w:val="000000" w:themeColor="text1"/>
          <w:sz w:val="32"/>
          <w:szCs w:val="32"/>
          <w:highlight w:val="none"/>
          <w:u w:val="none" w:color="auto"/>
          <w14:textFill>
            <w14:solidFill>
              <w14:schemeClr w14:val="tx1"/>
            </w14:solidFill>
          </w14:textFill>
        </w:rPr>
        <w:t>进行投资</w:t>
      </w:r>
      <w:r>
        <w:rPr>
          <w:rFonts w:eastAsia="仿宋_GB2312"/>
          <w:color w:val="000000" w:themeColor="text1"/>
          <w:sz w:val="32"/>
          <w:szCs w:val="32"/>
          <w:highlight w:val="none"/>
          <w:u w:val="none" w:color="auto"/>
          <w14:textFill>
            <w14:solidFill>
              <w14:schemeClr w14:val="tx1"/>
            </w14:solidFill>
          </w14:textFill>
        </w:rPr>
        <w:t>。</w:t>
      </w:r>
    </w:p>
    <w:p>
      <w:pPr>
        <w:numPr>
          <w:ilvl w:val="255"/>
          <w:numId w:val="0"/>
        </w:numPr>
        <w:snapToGrid w:val="0"/>
        <w:spacing w:line="360" w:lineRule="auto"/>
        <w:ind w:firstLine="645"/>
        <w:jc w:val="both"/>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第十九条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【市场化运作】</w:t>
      </w:r>
      <w:r>
        <w:rPr>
          <w:rFonts w:eastAsia="仿宋_GB2312"/>
          <w:color w:val="000000" w:themeColor="text1"/>
          <w:sz w:val="32"/>
          <w:szCs w:val="32"/>
          <w:highlight w:val="none"/>
          <w:u w:val="none" w:color="auto"/>
          <w14:textFill>
            <w14:solidFill>
              <w14:schemeClr w14:val="tx1"/>
            </w14:solidFill>
          </w14:textFill>
        </w:rPr>
        <w:t>业务主管部门、财政部门可通过监督投向、跟踪投资进度、委派观察员等方式，促进政府投资基金合规运作。充分尊重政府投资基金发展规律和项目投资特点，依法合规履行监管职责，不得以行政手段干预基金日常管理和具体项目投资决策。</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outlineLvl w:val="0"/>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【滚动投资】</w:t>
      </w:r>
      <w:r>
        <w:rPr>
          <w:rFonts w:eastAsia="仿宋_GB2312"/>
          <w:color w:val="000000" w:themeColor="text1"/>
          <w:sz w:val="32"/>
          <w:szCs w:val="32"/>
          <w:highlight w:val="none"/>
          <w:u w:val="none" w:color="auto"/>
          <w14:textFill>
            <w14:solidFill>
              <w14:schemeClr w14:val="tx1"/>
            </w14:solidFill>
          </w14:textFill>
        </w:rPr>
        <w:t>政府投资基金在投资期内，可按照基金章程或合伙协议规定，</w:t>
      </w:r>
      <w:r>
        <w:rPr>
          <w:rFonts w:hint="eastAsia" w:eastAsia="仿宋_GB2312"/>
          <w:color w:val="000000" w:themeColor="text1"/>
          <w:sz w:val="32"/>
          <w:szCs w:val="32"/>
          <w:highlight w:val="none"/>
          <w:u w:val="none" w:color="auto"/>
          <w14:textFill>
            <w14:solidFill>
              <w14:schemeClr w14:val="tx1"/>
            </w14:solidFill>
          </w14:textFill>
        </w:rPr>
        <w:t>将回收的</w:t>
      </w:r>
      <w:r>
        <w:rPr>
          <w:rFonts w:eastAsia="仿宋_GB2312"/>
          <w:color w:val="000000" w:themeColor="text1"/>
          <w:sz w:val="32"/>
          <w:szCs w:val="32"/>
          <w:highlight w:val="none"/>
          <w:u w:val="none" w:color="auto"/>
          <w14:textFill>
            <w14:solidFill>
              <w14:schemeClr w14:val="tx1"/>
            </w14:solidFill>
          </w14:textFill>
        </w:rPr>
        <w:t>本金和收益开展滚动投资。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outlineLvl w:val="0"/>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对需要长期布局的重点行业领域，政府投资基金可采取接续投资等方式予以支持。</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第二十一条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【损益管理】</w:t>
      </w:r>
      <w:r>
        <w:rPr>
          <w:rFonts w:eastAsia="仿宋_GB2312"/>
          <w:color w:val="000000" w:themeColor="text1"/>
          <w:sz w:val="32"/>
          <w:szCs w:val="32"/>
          <w:highlight w:val="none"/>
          <w:u w:val="none" w:color="auto"/>
          <w14:textFill>
            <w14:solidFill>
              <w14:schemeClr w14:val="tx1"/>
            </w14:solidFill>
          </w14:textFill>
        </w:rPr>
        <w:t>政府投资基金各出资方按照“利益共享、风险共担”的原则，在基金章程</w:t>
      </w:r>
      <w:r>
        <w:rPr>
          <w:rFonts w:hint="eastAsia" w:eastAsia="仿宋_GB2312"/>
          <w:color w:val="000000" w:themeColor="text1"/>
          <w:sz w:val="32"/>
          <w:szCs w:val="32"/>
          <w:highlight w:val="none"/>
          <w:u w:val="none" w:color="auto"/>
          <w14:textFill>
            <w14:solidFill>
              <w14:schemeClr w14:val="tx1"/>
            </w14:solidFill>
          </w14:textFill>
        </w:rPr>
        <w:t>或合伙协议</w:t>
      </w:r>
      <w:r>
        <w:rPr>
          <w:rFonts w:eastAsia="仿宋_GB2312"/>
          <w:color w:val="000000" w:themeColor="text1"/>
          <w:sz w:val="32"/>
          <w:szCs w:val="32"/>
          <w:highlight w:val="none"/>
          <w:u w:val="none" w:color="auto"/>
          <w14:textFill>
            <w14:solidFill>
              <w14:schemeClr w14:val="tx1"/>
            </w14:solidFill>
          </w14:textFill>
        </w:rPr>
        <w:t>中明确约定基金收益分配和亏损分担方式。</w:t>
      </w:r>
      <w:r>
        <w:rPr>
          <w:rFonts w:eastAsia="仿宋_GB2312"/>
          <w:color w:val="000000" w:themeColor="text1"/>
          <w:sz w:val="32"/>
          <w:szCs w:val="40"/>
          <w:highlight w:val="none"/>
          <w:u w:val="none" w:color="auto"/>
          <w14:textFill>
            <w14:solidFill>
              <w14:schemeClr w14:val="tx1"/>
            </w14:solidFill>
          </w14:textFill>
        </w:rPr>
        <w:t>政府可</w:t>
      </w:r>
      <w:r>
        <w:rPr>
          <w:rFonts w:eastAsia="仿宋_GB2312"/>
          <w:color w:val="000000" w:themeColor="text1"/>
          <w:sz w:val="32"/>
          <w:szCs w:val="32"/>
          <w:highlight w:val="none"/>
          <w:u w:val="none" w:color="auto"/>
          <w14:textFill>
            <w14:solidFill>
              <w14:schemeClr w14:val="tx1"/>
            </w14:solidFill>
          </w14:textFill>
        </w:rPr>
        <w:t>向基金管理人、社会</w:t>
      </w:r>
      <w:r>
        <w:rPr>
          <w:rFonts w:hint="eastAsia" w:eastAsia="仿宋_GB2312"/>
          <w:color w:val="000000" w:themeColor="text1"/>
          <w:sz w:val="32"/>
          <w:szCs w:val="32"/>
          <w:highlight w:val="none"/>
          <w:u w:val="none" w:color="auto"/>
          <w14:textFill>
            <w14:solidFill>
              <w14:schemeClr w14:val="tx1"/>
            </w14:solidFill>
          </w14:textFill>
        </w:rPr>
        <w:t>出</w:t>
      </w:r>
      <w:r>
        <w:rPr>
          <w:rFonts w:eastAsia="仿宋_GB2312"/>
          <w:color w:val="000000" w:themeColor="text1"/>
          <w:sz w:val="32"/>
          <w:szCs w:val="32"/>
          <w:highlight w:val="none"/>
          <w:u w:val="none" w:color="auto"/>
          <w14:textFill>
            <w14:solidFill>
              <w14:schemeClr w14:val="tx1"/>
            </w14:solidFill>
          </w14:textFill>
        </w:rPr>
        <w:t>资人、项目</w:t>
      </w:r>
      <w:r>
        <w:rPr>
          <w:rFonts w:hint="eastAsia" w:eastAsia="仿宋_GB2312"/>
          <w:color w:val="000000" w:themeColor="text1"/>
          <w:sz w:val="32"/>
          <w:szCs w:val="32"/>
          <w:highlight w:val="none"/>
          <w:u w:val="none" w:color="auto"/>
          <w14:textFill>
            <w14:solidFill>
              <w14:schemeClr w14:val="tx1"/>
            </w14:solidFill>
          </w14:textFill>
        </w:rPr>
        <w:t>实控</w:t>
      </w:r>
      <w:r>
        <w:rPr>
          <w:rFonts w:eastAsia="仿宋_GB2312"/>
          <w:color w:val="000000" w:themeColor="text1"/>
          <w:sz w:val="32"/>
          <w:szCs w:val="32"/>
          <w:highlight w:val="none"/>
          <w:u w:val="none" w:color="auto"/>
          <w14:textFill>
            <w14:solidFill>
              <w14:schemeClr w14:val="tx1"/>
            </w14:solidFill>
          </w14:textFill>
        </w:rPr>
        <w:t>方</w:t>
      </w:r>
      <w:r>
        <w:rPr>
          <w:rFonts w:hint="eastAsia" w:eastAsia="仿宋_GB2312"/>
          <w:color w:val="000000" w:themeColor="text1"/>
          <w:sz w:val="32"/>
          <w:szCs w:val="32"/>
          <w:highlight w:val="none"/>
          <w:u w:val="none" w:color="auto"/>
          <w14:textFill>
            <w14:solidFill>
              <w14:schemeClr w14:val="tx1"/>
            </w14:solidFill>
          </w14:textFill>
        </w:rPr>
        <w:t>或经营团队</w:t>
      </w:r>
      <w:r>
        <w:rPr>
          <w:rFonts w:eastAsia="仿宋_GB2312"/>
          <w:color w:val="000000" w:themeColor="text1"/>
          <w:sz w:val="32"/>
          <w:szCs w:val="32"/>
          <w:highlight w:val="none"/>
          <w:u w:val="none" w:color="auto"/>
          <w14:textFill>
            <w14:solidFill>
              <w14:schemeClr w14:val="tx1"/>
            </w14:solidFill>
          </w14:textFill>
        </w:rPr>
        <w:t>等</w:t>
      </w:r>
      <w:r>
        <w:rPr>
          <w:rFonts w:eastAsia="仿宋_GB2312"/>
          <w:color w:val="000000" w:themeColor="text1"/>
          <w:sz w:val="32"/>
          <w:szCs w:val="40"/>
          <w:highlight w:val="none"/>
          <w:u w:val="none" w:color="auto"/>
          <w14:textFill>
            <w14:solidFill>
              <w14:schemeClr w14:val="tx1"/>
            </w14:solidFill>
          </w14:textFill>
        </w:rPr>
        <w:t>适当让渡收益，但不得向其他出资人承诺投资本金不受损失，不得承诺最低收益。政府出资部分</w:t>
      </w:r>
      <w:r>
        <w:rPr>
          <w:rFonts w:hint="eastAsia" w:eastAsia="仿宋_GB2312"/>
          <w:color w:val="000000" w:themeColor="text1"/>
          <w:sz w:val="32"/>
          <w:szCs w:val="40"/>
          <w:highlight w:val="none"/>
          <w:u w:val="none" w:color="auto"/>
          <w14:textFill>
            <w14:solidFill>
              <w14:schemeClr w14:val="tx1"/>
            </w14:solidFill>
          </w14:textFill>
        </w:rPr>
        <w:t>的非项目收益一并</w:t>
      </w:r>
      <w:r>
        <w:rPr>
          <w:rFonts w:eastAsia="仿宋_GB2312"/>
          <w:color w:val="000000" w:themeColor="text1"/>
          <w:sz w:val="32"/>
          <w:szCs w:val="40"/>
          <w:highlight w:val="none"/>
          <w:u w:val="none" w:color="auto"/>
          <w14:textFill>
            <w14:solidFill>
              <w14:schemeClr w14:val="tx1"/>
            </w14:solidFill>
          </w14:textFill>
        </w:rPr>
        <w:t>纳入基金收益管理。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contextualSpacing/>
        <w:jc w:val="both"/>
        <w:textAlignment w:val="auto"/>
        <w:rPr>
          <w:rFonts w:eastAsia="仿宋_GB2312"/>
          <w:b/>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第二十二条</w:t>
      </w:r>
      <w:r>
        <w:rPr>
          <w:rFonts w:eastAsia="仿宋_GB2312"/>
          <w:b/>
          <w:bCs/>
          <w:color w:val="000000" w:themeColor="text1"/>
          <w:sz w:val="32"/>
          <w:szCs w:val="32"/>
          <w:highlight w:val="none"/>
          <w:u w:val="none" w:color="auto"/>
          <w14:textFill>
            <w14:solidFill>
              <w14:schemeClr w14:val="tx1"/>
            </w14:solidFill>
          </w14:textFill>
        </w:rPr>
        <w:t xml:space="preserve"> 【管理费用】</w:t>
      </w:r>
      <w:r>
        <w:rPr>
          <w:rFonts w:eastAsia="仿宋_GB2312"/>
          <w:color w:val="000000" w:themeColor="text1"/>
          <w:sz w:val="32"/>
          <w:szCs w:val="32"/>
          <w:highlight w:val="none"/>
          <w:u w:val="none" w:color="auto"/>
          <w14:textFill>
            <w14:solidFill>
              <w14:schemeClr w14:val="tx1"/>
            </w14:solidFill>
          </w14:textFill>
        </w:rPr>
        <w:t>政府投资基金管理费用按照市场化原则协商确定，依据基金考核评价结果情况予以核定拨付。基金投资期管理费一般应以实缴出资或实际投资金额为计费基础，合理确定计提标准（详见附件2），基金退出期管理费用原则上按照不超过基金投资期的70%核定</w:t>
      </w:r>
      <w:r>
        <w:rPr>
          <w:rFonts w:hint="eastAsia" w:eastAsia="仿宋_GB2312"/>
          <w:color w:val="000000" w:themeColor="text1"/>
          <w:sz w:val="32"/>
          <w:szCs w:val="32"/>
          <w:highlight w:val="none"/>
          <w:u w:val="none" w:color="auto"/>
          <w14:textFill>
            <w14:solidFill>
              <w14:schemeClr w14:val="tx1"/>
            </w14:solidFill>
          </w14:textFill>
        </w:rPr>
        <w:t>，基金存续期满后不得收取管理费。</w:t>
      </w:r>
    </w:p>
    <w:p>
      <w:pPr>
        <w:snapToGrid w:val="0"/>
        <w:spacing w:line="360" w:lineRule="auto"/>
        <w:ind w:firstLine="640" w:firstLineChars="200"/>
        <w:jc w:val="both"/>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第二十三条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color w:val="000000" w:themeColor="text1"/>
          <w:sz w:val="32"/>
          <w:szCs w:val="32"/>
          <w:highlight w:val="none"/>
          <w:u w:val="none" w:color="auto"/>
          <w14:textFill>
            <w14:solidFill>
              <w14:schemeClr w14:val="tx1"/>
            </w14:solidFill>
          </w14:textFill>
        </w:rPr>
        <w:t>【绩效考核】</w:t>
      </w:r>
      <w:r>
        <w:rPr>
          <w:rFonts w:eastAsia="仿宋_GB2312"/>
          <w:color w:val="000000" w:themeColor="text1"/>
          <w:sz w:val="32"/>
          <w:szCs w:val="32"/>
          <w:highlight w:val="none"/>
          <w:u w:val="none" w:color="auto"/>
          <w14:textFill>
            <w14:solidFill>
              <w14:schemeClr w14:val="tx1"/>
            </w14:solidFill>
          </w14:textFill>
        </w:rPr>
        <w:t>财政部门牵头制定</w:t>
      </w:r>
      <w:r>
        <w:rPr>
          <w:rFonts w:eastAsia="仿宋_GB2312"/>
          <w:bCs/>
          <w:color w:val="000000" w:themeColor="text1"/>
          <w:sz w:val="32"/>
          <w:szCs w:val="32"/>
          <w:highlight w:val="none"/>
          <w:u w:val="none" w:color="auto"/>
          <w14:textFill>
            <w14:solidFill>
              <w14:schemeClr w14:val="tx1"/>
            </w14:solidFill>
          </w14:textFill>
        </w:rPr>
        <w:t>政府投资基</w:t>
      </w:r>
      <w:r>
        <w:rPr>
          <w:rFonts w:eastAsia="仿宋_GB2312"/>
          <w:color w:val="000000" w:themeColor="text1"/>
          <w:sz w:val="32"/>
          <w:szCs w:val="32"/>
          <w:highlight w:val="none"/>
          <w:u w:val="none" w:color="auto"/>
          <w14:textFill>
            <w14:solidFill>
              <w14:schemeClr w14:val="tx1"/>
            </w14:solidFill>
          </w14:textFill>
        </w:rPr>
        <w:t>金绩效管理制度，规范绩效考核指标体系架构、考核周期和流程、考核等次等设置，细化考核结果应用以及尽职免责机制。</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eastAsia="仿宋_GB2312"/>
          <w:color w:val="000000" w:themeColor="text1"/>
          <w:sz w:val="32"/>
          <w:szCs w:val="32"/>
          <w:highlight w:val="none"/>
          <w:u w:val="none" w:color="auto"/>
          <w14:textFill>
            <w14:solidFill>
              <w14:schemeClr w14:val="tx1"/>
            </w14:solidFill>
          </w14:textFill>
        </w:rPr>
        <w:t>业务主管部门</w:t>
      </w:r>
      <w:r>
        <w:rPr>
          <w:rFonts w:eastAsia="仿宋_GB2312"/>
          <w:color w:val="000000" w:themeColor="text1"/>
          <w:sz w:val="32"/>
          <w:szCs w:val="32"/>
          <w:highlight w:val="none"/>
          <w:u w:val="none" w:color="auto"/>
          <w14:textFill>
            <w14:solidFill>
              <w14:schemeClr w14:val="tx1"/>
            </w14:solidFill>
          </w14:textFill>
        </w:rPr>
        <w:t>牵头制定政府投资基金具体绩效考核办法，构建科学化、差异化、可量化的绩效指标体系</w:t>
      </w:r>
      <w:r>
        <w:rPr>
          <w:rFonts w:hint="eastAsia" w:eastAsia="仿宋_GB2312"/>
          <w:color w:val="000000" w:themeColor="text1"/>
          <w:sz w:val="32"/>
          <w:szCs w:val="32"/>
          <w:highlight w:val="none"/>
          <w:u w:val="none" w:color="auto"/>
          <w14:textFill>
            <w14:solidFill>
              <w14:schemeClr w14:val="tx1"/>
            </w14:solidFill>
          </w14:textFill>
        </w:rPr>
        <w:t>并组织实施绩效考核</w:t>
      </w:r>
      <w:r>
        <w:rPr>
          <w:rFonts w:eastAsia="仿宋_GB2312"/>
          <w:color w:val="000000" w:themeColor="text1"/>
          <w:sz w:val="32"/>
          <w:szCs w:val="32"/>
          <w:highlight w:val="none"/>
          <w:u w:val="none" w:color="auto"/>
          <w14:textFill>
            <w14:solidFill>
              <w14:schemeClr w14:val="tx1"/>
            </w14:solidFill>
          </w14:textFill>
        </w:rPr>
        <w:t>。基金重点关注政策目标综合实现情况，不以盈利为</w:t>
      </w:r>
      <w:r>
        <w:rPr>
          <w:rFonts w:hint="eastAsia" w:eastAsia="仿宋_GB2312"/>
          <w:color w:val="000000" w:themeColor="text1"/>
          <w:sz w:val="32"/>
          <w:szCs w:val="32"/>
          <w:highlight w:val="none"/>
          <w:u w:val="none" w:color="auto"/>
          <w14:textFill>
            <w14:solidFill>
              <w14:schemeClr w14:val="tx1"/>
            </w14:solidFill>
          </w14:textFill>
        </w:rPr>
        <w:t>主要</w:t>
      </w:r>
      <w:r>
        <w:rPr>
          <w:rFonts w:eastAsia="仿宋_GB2312"/>
          <w:color w:val="000000" w:themeColor="text1"/>
          <w:sz w:val="32"/>
          <w:szCs w:val="32"/>
          <w:highlight w:val="none"/>
          <w:u w:val="none" w:color="auto"/>
          <w14:textFill>
            <w14:solidFill>
              <w14:schemeClr w14:val="tx1"/>
            </w14:solidFill>
          </w14:textFill>
        </w:rPr>
        <w:t>目的，可不设定内部基准收益率，不以单个项目或单一年度盈亏作为考核依据，原则上不穿透考核</w:t>
      </w:r>
      <w:r>
        <w:rPr>
          <w:rFonts w:hint="eastAsia" w:eastAsia="仿宋_GB2312"/>
          <w:color w:val="000000" w:themeColor="text1"/>
          <w:sz w:val="32"/>
          <w:szCs w:val="32"/>
          <w:highlight w:val="none"/>
          <w:u w:val="none" w:color="auto"/>
          <w14:textFill>
            <w14:solidFill>
              <w14:schemeClr w14:val="tx1"/>
            </w14:solidFill>
          </w14:textFill>
        </w:rPr>
        <w:t>子基金的单个投资</w:t>
      </w:r>
      <w:r>
        <w:rPr>
          <w:rFonts w:eastAsia="仿宋_GB2312"/>
          <w:color w:val="000000" w:themeColor="text1"/>
          <w:sz w:val="32"/>
          <w:szCs w:val="32"/>
          <w:highlight w:val="none"/>
          <w:u w:val="none" w:color="auto"/>
          <w14:textFill>
            <w14:solidFill>
              <w14:schemeClr w14:val="tx1"/>
            </w14:solidFill>
          </w14:textFill>
        </w:rPr>
        <w:t>项目。</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注资国有企业方式设立的政府投资基金按照绩效考核办法实行单列考核，不纳入所在企业国有资本经营业绩考核范围。</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第二十四条</w:t>
      </w:r>
      <w:r>
        <w:rPr>
          <w:rFonts w:hint="eastAsia" w:eastAsia="仿宋_GB2312"/>
          <w:b/>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color w:val="000000" w:themeColor="text1"/>
          <w:sz w:val="32"/>
          <w:szCs w:val="32"/>
          <w:highlight w:val="none"/>
          <w:u w:val="none" w:color="auto"/>
          <w:lang w:val="en-US" w:eastAsia="zh-CN"/>
          <w14:textFill>
            <w14:solidFill>
              <w14:schemeClr w14:val="tx1"/>
            </w14:solidFill>
          </w14:textFill>
        </w:rPr>
        <w:t xml:space="preserve"> </w:t>
      </w:r>
      <w:r>
        <w:rPr>
          <w:rFonts w:eastAsia="仿宋_GB2312"/>
          <w:b/>
          <w:color w:val="000000" w:themeColor="text1"/>
          <w:sz w:val="32"/>
          <w:szCs w:val="32"/>
          <w:highlight w:val="none"/>
          <w:u w:val="none" w:color="auto"/>
          <w14:textFill>
            <w14:solidFill>
              <w14:schemeClr w14:val="tx1"/>
            </w14:solidFill>
          </w14:textFill>
        </w:rPr>
        <w:t>【结果运用】</w:t>
      </w:r>
      <w:r>
        <w:rPr>
          <w:rFonts w:eastAsia="仿宋_GB2312"/>
          <w:bCs/>
          <w:color w:val="000000" w:themeColor="text1"/>
          <w:sz w:val="32"/>
          <w:szCs w:val="32"/>
          <w:highlight w:val="none"/>
          <w:u w:val="none" w:color="auto"/>
          <w14:textFill>
            <w14:solidFill>
              <w14:schemeClr w14:val="tx1"/>
            </w14:solidFill>
          </w14:textFill>
        </w:rPr>
        <w:t>财政部门会同有关部门建立激励约束机制，综合采取调整管理费、</w:t>
      </w:r>
      <w:r>
        <w:rPr>
          <w:rFonts w:hint="eastAsia" w:eastAsia="仿宋_GB2312"/>
          <w:bCs/>
          <w:color w:val="000000" w:themeColor="text1"/>
          <w:sz w:val="32"/>
          <w:szCs w:val="32"/>
          <w:highlight w:val="none"/>
          <w:u w:val="none" w:color="auto"/>
          <w14:textFill>
            <w14:solidFill>
              <w14:schemeClr w14:val="tx1"/>
            </w14:solidFill>
          </w14:textFill>
        </w:rPr>
        <w:t>调整</w:t>
      </w:r>
      <w:r>
        <w:rPr>
          <w:rFonts w:eastAsia="仿宋_GB2312"/>
          <w:bCs/>
          <w:color w:val="000000" w:themeColor="text1"/>
          <w:sz w:val="32"/>
          <w:szCs w:val="32"/>
          <w:highlight w:val="none"/>
          <w:u w:val="none" w:color="auto"/>
          <w14:textFill>
            <w14:solidFill>
              <w14:schemeClr w14:val="tx1"/>
            </w14:solidFill>
          </w14:textFill>
        </w:rPr>
        <w:t>超额收益分配</w:t>
      </w:r>
      <w:r>
        <w:rPr>
          <w:rFonts w:hint="eastAsia" w:eastAsia="仿宋_GB2312"/>
          <w:bCs/>
          <w:color w:val="000000" w:themeColor="text1"/>
          <w:sz w:val="32"/>
          <w:szCs w:val="32"/>
          <w:highlight w:val="none"/>
          <w:u w:val="none" w:color="auto"/>
          <w14:textFill>
            <w14:solidFill>
              <w14:schemeClr w14:val="tx1"/>
            </w14:solidFill>
          </w14:textFill>
        </w:rPr>
        <w:t>比例</w:t>
      </w:r>
      <w:r>
        <w:rPr>
          <w:rFonts w:eastAsia="仿宋_GB2312"/>
          <w:bCs/>
          <w:color w:val="000000" w:themeColor="text1"/>
          <w:sz w:val="32"/>
          <w:szCs w:val="32"/>
          <w:highlight w:val="none"/>
          <w:u w:val="none" w:color="auto"/>
          <w14:textFill>
            <w14:solidFill>
              <w14:schemeClr w14:val="tx1"/>
            </w14:solidFill>
          </w14:textFill>
        </w:rPr>
        <w:t>等措施加强绩效评价结果应用。</w:t>
      </w:r>
    </w:p>
    <w:p>
      <w:pPr>
        <w:snapToGrid w:val="0"/>
        <w:spacing w:line="360" w:lineRule="auto"/>
        <w:ind w:firstLine="640" w:firstLineChars="200"/>
        <w:jc w:val="both"/>
        <w:rPr>
          <w:rFonts w:eastAsia="仿宋_GB2312"/>
          <w:bCs/>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第二十五条</w:t>
      </w:r>
      <w:r>
        <w:rPr>
          <w:rFonts w:hint="eastAsia" w:ascii="仿宋_GB2312" w:hAnsi="仿宋_GB2312" w:eastAsia="仿宋_GB2312"/>
          <w:color w:val="000000" w:themeColor="text1"/>
          <w:sz w:val="32"/>
          <w:szCs w:val="32"/>
          <w:highlight w:val="none"/>
          <w:u w:val="none" w:color="auto"/>
          <w:lang w:eastAsia="zh-CN"/>
          <w14:textFill>
            <w14:solidFill>
              <w14:schemeClr w14:val="tx1"/>
            </w14:solidFill>
          </w14:textFill>
        </w:rPr>
        <w:t xml:space="preserve"> </w:t>
      </w:r>
      <w:r>
        <w:rPr>
          <w:rFonts w:hint="eastAsia" w:ascii="仿宋_GB2312" w:hAnsi="仿宋_GB2312" w:eastAsia="仿宋_GB2312"/>
          <w:color w:val="000000" w:themeColor="text1"/>
          <w:sz w:val="32"/>
          <w:szCs w:val="32"/>
          <w:highlight w:val="none"/>
          <w:u w:val="none" w:color="auto"/>
          <w:lang w:val="en-US" w:eastAsia="zh-CN"/>
          <w14:textFill>
            <w14:solidFill>
              <w14:schemeClr w14:val="tx1"/>
            </w14:solidFill>
          </w14:textFill>
        </w:rPr>
        <w:t xml:space="preserve"> </w:t>
      </w:r>
      <w:r>
        <w:rPr>
          <w:rFonts w:hint="eastAsia" w:ascii="仿宋_GB2312" w:hAnsi="仿宋_GB2312" w:eastAsia="仿宋_GB2312"/>
          <w:b/>
          <w:bCs/>
          <w:color w:val="000000" w:themeColor="text1"/>
          <w:sz w:val="32"/>
          <w:szCs w:val="32"/>
          <w:highlight w:val="none"/>
          <w:u w:val="none" w:color="auto"/>
          <w14:textFill>
            <w14:solidFill>
              <w14:schemeClr w14:val="tx1"/>
            </w14:solidFill>
          </w14:textFill>
        </w:rPr>
        <w:t>【差异化管理】</w:t>
      </w:r>
      <w:r>
        <w:rPr>
          <w:rFonts w:hint="eastAsia" w:ascii="仿宋_GB2312" w:hAnsi="仿宋_GB2312" w:eastAsia="仿宋_GB2312"/>
          <w:color w:val="000000" w:themeColor="text1"/>
          <w:sz w:val="32"/>
          <w:szCs w:val="32"/>
          <w:highlight w:val="none"/>
          <w:u w:val="none" w:color="auto"/>
          <w14:textFill>
            <w14:solidFill>
              <w14:schemeClr w14:val="tx1"/>
            </w14:solidFill>
          </w14:textFill>
        </w:rPr>
        <w:t>政府投资基金根据不同定位实行差异化管理。</w:t>
      </w:r>
      <w:r>
        <w:rPr>
          <w:rFonts w:ascii="仿宋_GB2312" w:hAnsi="仿宋_GB2312" w:eastAsia="仿宋_GB2312"/>
          <w:color w:val="000000" w:themeColor="text1"/>
          <w:sz w:val="32"/>
          <w:szCs w:val="32"/>
          <w:highlight w:val="none"/>
          <w:u w:val="none" w:color="auto"/>
          <w14:textFill>
            <w14:solidFill>
              <w14:schemeClr w14:val="tx1"/>
            </w14:solidFill>
          </w14:textFill>
        </w:rPr>
        <w:t>产业投资类基金</w:t>
      </w:r>
      <w:r>
        <w:rPr>
          <w:rFonts w:hint="eastAsia" w:ascii="仿宋_GB2312" w:hAnsi="仿宋_GB2312" w:eastAsia="仿宋_GB2312" w:cs="宋体"/>
          <w:color w:val="333333"/>
          <w:kern w:val="0"/>
          <w:sz w:val="32"/>
          <w:szCs w:val="32"/>
          <w:highlight w:val="none"/>
          <w:u w:val="none" w:color="auto"/>
          <w:shd w:val="clear" w:color="auto" w:fill="FFFFFF"/>
        </w:rPr>
        <w:t>应根据产业类型、阶段、分布特点合理设置管理要求，突出支持重点。创业投资类基金可适当提高政府出资比例、放宽基金存续期要求、延长基金绩效评价周期。</w:t>
      </w:r>
    </w:p>
    <w:p>
      <w:pPr>
        <w:snapToGrid w:val="0"/>
        <w:spacing w:line="360" w:lineRule="auto"/>
        <w:ind w:firstLine="0"/>
        <w:jc w:val="both"/>
        <w:outlineLvl w:val="0"/>
        <w:rPr>
          <w:rFonts w:eastAsia="黑体"/>
          <w:color w:val="000000" w:themeColor="text1"/>
          <w:sz w:val="32"/>
          <w:szCs w:val="32"/>
          <w:highlight w:val="none"/>
          <w:u w:val="none" w:color="auto"/>
          <w14:textFill>
            <w14:solidFill>
              <w14:schemeClr w14:val="tx1"/>
            </w14:solidFill>
          </w14:textFill>
        </w:rPr>
      </w:pPr>
    </w:p>
    <w:p>
      <w:pPr>
        <w:numPr>
          <w:ilvl w:val="0"/>
          <w:numId w:val="1"/>
        </w:numPr>
        <w:snapToGrid w:val="0"/>
        <w:spacing w:line="360" w:lineRule="auto"/>
        <w:ind w:firstLine="0"/>
        <w:jc w:val="center"/>
        <w:outlineLvl w:val="0"/>
        <w:rPr>
          <w:rFonts w:eastAsia="黑体"/>
          <w:color w:val="000000" w:themeColor="text1"/>
          <w:sz w:val="32"/>
          <w:szCs w:val="32"/>
          <w:highlight w:val="none"/>
          <w:u w:val="none" w:color="auto"/>
          <w14:textFill>
            <w14:solidFill>
              <w14:schemeClr w14:val="tx1"/>
            </w14:solidFill>
          </w14:textFill>
        </w:rPr>
      </w:pPr>
      <w:r>
        <w:rPr>
          <w:rFonts w:hint="eastAsia" w:eastAsia="黑体"/>
          <w:color w:val="000000" w:themeColor="text1"/>
          <w:sz w:val="32"/>
          <w:szCs w:val="32"/>
          <w:highlight w:val="none"/>
          <w:u w:val="none" w:color="auto"/>
          <w14:textFill>
            <w14:solidFill>
              <w14:schemeClr w14:val="tx1"/>
            </w14:solidFill>
          </w14:textFill>
        </w:rPr>
        <w:t>风险控制及监督管理</w:t>
      </w:r>
    </w:p>
    <w:p>
      <w:pPr>
        <w:numPr>
          <w:ilvl w:val="255"/>
          <w:numId w:val="0"/>
        </w:numPr>
        <w:snapToGrid w:val="0"/>
        <w:spacing w:line="360" w:lineRule="auto"/>
        <w:ind w:firstLine="0"/>
        <w:jc w:val="both"/>
        <w:outlineLvl w:val="0"/>
        <w:rPr>
          <w:rFonts w:eastAsia="黑体"/>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第二十六条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 xml:space="preserve">【风险控制】 </w:t>
      </w:r>
      <w:r>
        <w:rPr>
          <w:rFonts w:eastAsia="仿宋_GB2312"/>
          <w:color w:val="000000" w:themeColor="text1"/>
          <w:sz w:val="32"/>
          <w:szCs w:val="32"/>
          <w:highlight w:val="none"/>
          <w:u w:val="none" w:color="auto"/>
          <w14:textFill>
            <w14:solidFill>
              <w14:schemeClr w14:val="tx1"/>
            </w14:solidFill>
          </w14:textFill>
        </w:rPr>
        <w:t>加强从业人员法律法规及职业道德教育、培训和管理，不得从事损害基金财产或者出资人利益的关联交易等投资活动，通过建立内部控制和外部监管制度，健全投资决策和风险约束机制，切实防范基金运作过程中可能出现的风险。</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第二十七条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color w:val="000000" w:themeColor="text1"/>
          <w:sz w:val="32"/>
          <w:szCs w:val="32"/>
          <w:highlight w:val="none"/>
          <w:u w:val="none" w:color="auto"/>
          <w14:textFill>
            <w14:solidFill>
              <w14:schemeClr w14:val="tx1"/>
            </w14:solidFill>
          </w14:textFill>
        </w:rPr>
        <w:t>【禁止事项】</w:t>
      </w:r>
      <w:r>
        <w:rPr>
          <w:rFonts w:eastAsia="仿宋_GB2312"/>
          <w:color w:val="000000" w:themeColor="text1"/>
          <w:sz w:val="32"/>
          <w:szCs w:val="32"/>
          <w:highlight w:val="none"/>
          <w:u w:val="none" w:color="auto"/>
          <w14:textFill>
            <w14:solidFill>
              <w14:schemeClr w14:val="tx1"/>
            </w14:solidFill>
          </w14:textFill>
        </w:rPr>
        <w:t>政府投资基金按照方案确定的投资领域开展投资运作，除基于流动性管理需要开展的稳健型理财以外，在运作过程中不得从事以下业务。</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（一）从事融资担保以外的担保、抵押、委托贷款等业务；</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（二）投资二级市场股票（参与上市公司并购重组、定向增发、战略配售、协议转让和大宗交易等进行股权投资除外）、期货、房地产、证券投资基金、评级AAA以下的企业债、信托产品、</w:t>
      </w:r>
      <w:r>
        <w:rPr>
          <w:rFonts w:hint="eastAsia" w:eastAsia="仿宋_GB2312"/>
          <w:color w:val="000000" w:themeColor="text1"/>
          <w:sz w:val="32"/>
          <w:szCs w:val="32"/>
          <w:highlight w:val="none"/>
          <w:u w:val="none" w:color="auto"/>
          <w14:textFill>
            <w14:solidFill>
              <w14:schemeClr w14:val="tx1"/>
            </w14:solidFill>
          </w14:textFill>
        </w:rPr>
        <w:t>中高风险理财产品、</w:t>
      </w:r>
      <w:r>
        <w:rPr>
          <w:rFonts w:eastAsia="仿宋_GB2312"/>
          <w:color w:val="000000" w:themeColor="text1"/>
          <w:sz w:val="32"/>
          <w:szCs w:val="32"/>
          <w:highlight w:val="none"/>
          <w:u w:val="none" w:color="auto"/>
          <w14:textFill>
            <w14:solidFill>
              <w14:schemeClr w14:val="tx1"/>
            </w14:solidFill>
          </w14:textFill>
        </w:rPr>
        <w:t>保险计划及其他金融衍生品；</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（三）向任何第三方提供赞助、捐赠（经批准的公益性捐赠除外）；</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pacing w:val="-11"/>
          <w:sz w:val="32"/>
          <w:szCs w:val="32"/>
          <w:highlight w:val="none"/>
          <w:u w:val="none" w:color="auto"/>
          <w14:textFill>
            <w14:solidFill>
              <w14:schemeClr w14:val="tx1"/>
            </w14:solidFill>
          </w14:textFill>
        </w:rPr>
      </w:pPr>
      <w:r>
        <w:rPr>
          <w:rFonts w:eastAsia="仿宋_GB2312"/>
          <w:color w:val="000000" w:themeColor="text1"/>
          <w:spacing w:val="-11"/>
          <w:sz w:val="32"/>
          <w:szCs w:val="32"/>
          <w:highlight w:val="none"/>
          <w:u w:val="none" w:color="auto"/>
          <w14:textFill>
            <w14:solidFill>
              <w14:schemeClr w14:val="tx1"/>
            </w14:solidFill>
          </w14:textFill>
        </w:rPr>
        <w:t>（四）吸收或变相吸收存款，或向第三方提供贷款和资金拆借；</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（五）进行承担无限连带责任的对外投资；</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（六）发行信托或集合理财产品募集资金；</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（七）其他国家和省法律法规禁止从事的业务。</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第二十八条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【监督检查】</w:t>
      </w:r>
      <w:r>
        <w:rPr>
          <w:rFonts w:eastAsia="仿宋_GB2312"/>
          <w:color w:val="000000" w:themeColor="text1"/>
          <w:sz w:val="32"/>
          <w:szCs w:val="32"/>
          <w:highlight w:val="none"/>
          <w:u w:val="none" w:color="auto"/>
          <w14:textFill>
            <w14:solidFill>
              <w14:schemeClr w14:val="tx1"/>
            </w14:solidFill>
          </w14:textFill>
        </w:rPr>
        <w:t>财政部门、审计部门按照本办法及有关实施细则、基金组建方案等规定开展政府投资基金绩效评价、审计监督，基金受托管理机构、基金管理人</w:t>
      </w:r>
      <w:r>
        <w:rPr>
          <w:rFonts w:hint="eastAsia" w:eastAsia="仿宋_GB2312"/>
          <w:color w:val="000000" w:themeColor="text1"/>
          <w:sz w:val="32"/>
          <w:szCs w:val="32"/>
          <w:highlight w:val="none"/>
          <w:u w:val="none" w:color="auto"/>
          <w:lang w:eastAsia="zh-CN"/>
          <w14:textFill>
            <w14:solidFill>
              <w14:schemeClr w14:val="tx1"/>
            </w14:solidFill>
          </w14:textFill>
        </w:rPr>
        <w:t>需</w:t>
      </w:r>
      <w:r>
        <w:rPr>
          <w:rFonts w:eastAsia="仿宋_GB2312"/>
          <w:color w:val="000000" w:themeColor="text1"/>
          <w:sz w:val="32"/>
          <w:szCs w:val="32"/>
          <w:highlight w:val="none"/>
          <w:u w:val="none" w:color="auto"/>
          <w14:textFill>
            <w14:solidFill>
              <w14:schemeClr w14:val="tx1"/>
            </w14:solidFill>
          </w14:textFill>
        </w:rPr>
        <w:t>予以配合，</w:t>
      </w:r>
      <w:r>
        <w:rPr>
          <w:rFonts w:hint="eastAsia" w:eastAsia="仿宋_GB2312"/>
          <w:color w:val="000000" w:themeColor="text1"/>
          <w:sz w:val="32"/>
          <w:szCs w:val="32"/>
          <w:highlight w:val="none"/>
          <w:u w:val="none" w:color="auto"/>
          <w14:textFill>
            <w14:solidFill>
              <w14:schemeClr w14:val="tx1"/>
            </w14:solidFill>
          </w14:textFill>
        </w:rPr>
        <w:t>各有关部门和单位</w:t>
      </w:r>
      <w:r>
        <w:rPr>
          <w:rFonts w:hint="eastAsia" w:eastAsia="仿宋_GB2312"/>
          <w:color w:val="000000" w:themeColor="text1"/>
          <w:sz w:val="32"/>
          <w:szCs w:val="32"/>
          <w:highlight w:val="none"/>
          <w:u w:val="none" w:color="auto"/>
          <w:lang w:eastAsia="zh-CN"/>
          <w14:textFill>
            <w14:solidFill>
              <w14:schemeClr w14:val="tx1"/>
            </w14:solidFill>
          </w14:textFill>
        </w:rPr>
        <w:t>需</w:t>
      </w:r>
      <w:r>
        <w:rPr>
          <w:rFonts w:eastAsia="仿宋_GB2312"/>
          <w:color w:val="000000" w:themeColor="text1"/>
          <w:sz w:val="32"/>
          <w:szCs w:val="32"/>
          <w:highlight w:val="none"/>
          <w:u w:val="none" w:color="auto"/>
          <w14:textFill>
            <w14:solidFill>
              <w14:schemeClr w14:val="tx1"/>
            </w14:solidFill>
          </w14:textFill>
        </w:rPr>
        <w:t>畅通</w:t>
      </w:r>
      <w:r>
        <w:rPr>
          <w:rFonts w:hint="eastAsia" w:eastAsia="仿宋_GB2312"/>
          <w:color w:val="000000" w:themeColor="text1"/>
          <w:sz w:val="32"/>
          <w:szCs w:val="32"/>
          <w:highlight w:val="none"/>
          <w:u w:val="none" w:color="auto"/>
          <w14:textFill>
            <w14:solidFill>
              <w14:schemeClr w14:val="tx1"/>
            </w14:solidFill>
          </w14:textFill>
        </w:rPr>
        <w:t>政府投资基金的</w:t>
      </w:r>
      <w:r>
        <w:rPr>
          <w:rFonts w:eastAsia="仿宋_GB2312"/>
          <w:color w:val="000000" w:themeColor="text1"/>
          <w:sz w:val="32"/>
          <w:szCs w:val="32"/>
          <w:highlight w:val="none"/>
          <w:u w:val="none" w:color="auto"/>
          <w14:textFill>
            <w14:solidFill>
              <w14:schemeClr w14:val="tx1"/>
            </w14:solidFill>
          </w14:textFill>
        </w:rPr>
        <w:t>外部监督渠道。</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监督检查中发现的问题按照预算法和《财政违法行为处罚处分条例》等有关规定予以处理。基金从业人员玩忽职守、滥用职权、徇私舞弊或者利用职务便利索取或收受他人财物的，依规依纪依法给予处理处分；构成犯罪的，依法追究刑事责任。</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第二十九条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【尽职免责】</w:t>
      </w:r>
      <w:r>
        <w:rPr>
          <w:rFonts w:eastAsia="仿宋_GB2312"/>
          <w:color w:val="000000" w:themeColor="text1"/>
          <w:sz w:val="32"/>
          <w:szCs w:val="32"/>
          <w:highlight w:val="none"/>
          <w:u w:val="none" w:color="auto"/>
          <w14:textFill>
            <w14:solidFill>
              <w14:schemeClr w14:val="tx1"/>
            </w14:solidFill>
          </w14:textFill>
        </w:rPr>
        <w:t>遵循基金投资运作规律，容忍正常投资风险，</w:t>
      </w:r>
      <w:r>
        <w:rPr>
          <w:rFonts w:hint="eastAsia" w:eastAsia="仿宋_GB2312"/>
          <w:color w:val="000000" w:themeColor="text1"/>
          <w:sz w:val="32"/>
          <w:szCs w:val="32"/>
          <w:highlight w:val="none"/>
          <w:u w:val="none" w:color="auto"/>
          <w14:textFill>
            <w14:solidFill>
              <w14:schemeClr w14:val="tx1"/>
            </w14:solidFill>
          </w14:textFill>
        </w:rPr>
        <w:t>不以单一项目投资损失追责，</w:t>
      </w:r>
      <w:r>
        <w:rPr>
          <w:rFonts w:eastAsia="仿宋_GB2312"/>
          <w:color w:val="000000" w:themeColor="text1"/>
          <w:sz w:val="32"/>
          <w:szCs w:val="32"/>
          <w:highlight w:val="none"/>
          <w:u w:val="none" w:color="auto"/>
          <w14:textFill>
            <w14:solidFill>
              <w14:schemeClr w14:val="tx1"/>
            </w14:solidFill>
          </w14:textFill>
        </w:rPr>
        <w:t>适当放宽创业投资类基金的损失容忍度。依法合规充分履行决策程序</w:t>
      </w:r>
      <w:r>
        <w:rPr>
          <w:rFonts w:hint="eastAsia" w:eastAsia="仿宋_GB2312"/>
          <w:color w:val="000000" w:themeColor="text1"/>
          <w:sz w:val="32"/>
          <w:szCs w:val="32"/>
          <w:highlight w:val="none"/>
          <w:u w:val="none" w:color="auto"/>
          <w14:textFill>
            <w14:solidFill>
              <w14:schemeClr w14:val="tx1"/>
            </w14:solidFill>
          </w14:textFill>
        </w:rPr>
        <w:t>且</w:t>
      </w:r>
      <w:r>
        <w:rPr>
          <w:rFonts w:eastAsia="仿宋_GB2312"/>
          <w:color w:val="000000" w:themeColor="text1"/>
          <w:sz w:val="32"/>
          <w:szCs w:val="32"/>
          <w:highlight w:val="none"/>
          <w:u w:val="none" w:color="auto"/>
          <w14:textFill>
            <w14:solidFill>
              <w14:schemeClr w14:val="tx1"/>
            </w14:solidFill>
          </w14:textFill>
        </w:rPr>
        <w:t>未</w:t>
      </w:r>
      <w:r>
        <w:rPr>
          <w:rFonts w:hint="eastAsia" w:eastAsia="仿宋_GB2312"/>
          <w:color w:val="000000" w:themeColor="text1"/>
          <w:sz w:val="32"/>
          <w:szCs w:val="32"/>
          <w:highlight w:val="none"/>
          <w:u w:val="none" w:color="auto"/>
          <w14:textFill>
            <w14:solidFill>
              <w14:schemeClr w14:val="tx1"/>
            </w14:solidFill>
          </w14:textFill>
        </w:rPr>
        <w:t>涉及</w:t>
      </w:r>
      <w:r>
        <w:rPr>
          <w:rFonts w:eastAsia="仿宋_GB2312"/>
          <w:color w:val="000000" w:themeColor="text1"/>
          <w:sz w:val="32"/>
          <w:szCs w:val="32"/>
          <w:highlight w:val="none"/>
          <w:u w:val="none" w:color="auto"/>
          <w14:textFill>
            <w14:solidFill>
              <w14:schemeClr w14:val="tx1"/>
            </w14:solidFill>
          </w14:textFill>
        </w:rPr>
        <w:t>谋取私利</w:t>
      </w:r>
      <w:r>
        <w:rPr>
          <w:rFonts w:hint="eastAsia" w:eastAsia="仿宋_GB2312"/>
          <w:color w:val="000000" w:themeColor="text1"/>
          <w:sz w:val="32"/>
          <w:szCs w:val="32"/>
          <w:highlight w:val="none"/>
          <w:u w:val="none" w:color="auto"/>
          <w14:textFill>
            <w14:solidFill>
              <w14:schemeClr w14:val="tx1"/>
            </w14:solidFill>
          </w14:textFill>
        </w:rPr>
        <w:t>的投资</w:t>
      </w:r>
      <w:r>
        <w:rPr>
          <w:rFonts w:eastAsia="仿宋_GB2312"/>
          <w:color w:val="000000" w:themeColor="text1"/>
          <w:sz w:val="32"/>
          <w:szCs w:val="32"/>
          <w:highlight w:val="none"/>
          <w:u w:val="none" w:color="auto"/>
          <w14:textFill>
            <w14:solidFill>
              <w14:schemeClr w14:val="tx1"/>
            </w14:solidFill>
          </w14:textFill>
        </w:rPr>
        <w:t>项目出现损失</w:t>
      </w:r>
      <w:r>
        <w:rPr>
          <w:rFonts w:hint="eastAsia" w:eastAsia="仿宋_GB2312"/>
          <w:color w:val="000000" w:themeColor="text1"/>
          <w:sz w:val="32"/>
          <w:szCs w:val="32"/>
          <w:highlight w:val="none"/>
          <w:u w:val="none" w:color="auto"/>
          <w14:textFill>
            <w14:solidFill>
              <w14:schemeClr w14:val="tx1"/>
            </w14:solidFill>
          </w14:textFill>
        </w:rPr>
        <w:t>的</w:t>
      </w:r>
      <w:r>
        <w:rPr>
          <w:rFonts w:eastAsia="仿宋_GB2312"/>
          <w:color w:val="000000" w:themeColor="text1"/>
          <w:sz w:val="32"/>
          <w:szCs w:val="32"/>
          <w:highlight w:val="none"/>
          <w:u w:val="none" w:color="auto"/>
          <w14:textFill>
            <w14:solidFill>
              <w14:schemeClr w14:val="tx1"/>
            </w14:solidFill>
          </w14:textFill>
        </w:rPr>
        <w:t>，不追</w:t>
      </w:r>
      <w:r>
        <w:rPr>
          <w:rFonts w:hint="eastAsia" w:eastAsia="仿宋_GB2312"/>
          <w:color w:val="000000" w:themeColor="text1"/>
          <w:sz w:val="32"/>
          <w:szCs w:val="32"/>
          <w:highlight w:val="none"/>
          <w:u w:val="none" w:color="auto"/>
          <w14:textFill>
            <w14:solidFill>
              <w14:schemeClr w14:val="tx1"/>
            </w14:solidFill>
          </w14:textFill>
        </w:rPr>
        <w:t>究相关单位及个人</w:t>
      </w:r>
      <w:r>
        <w:rPr>
          <w:rFonts w:eastAsia="仿宋_GB2312"/>
          <w:color w:val="000000" w:themeColor="text1"/>
          <w:sz w:val="32"/>
          <w:szCs w:val="32"/>
          <w:highlight w:val="none"/>
          <w:u w:val="none" w:color="auto"/>
          <w14:textFill>
            <w14:solidFill>
              <w14:schemeClr w14:val="tx1"/>
            </w14:solidFill>
          </w14:textFill>
        </w:rPr>
        <w:t>的责任</w:t>
      </w:r>
      <w:r>
        <w:rPr>
          <w:rFonts w:hint="eastAsia" w:eastAsia="仿宋_GB2312"/>
          <w:color w:val="000000" w:themeColor="text1"/>
          <w:sz w:val="32"/>
          <w:szCs w:val="32"/>
          <w:highlight w:val="none"/>
          <w:u w:val="none" w:color="auto"/>
          <w14:textFill>
            <w14:solidFill>
              <w14:schemeClr w14:val="tx1"/>
            </w14:solidFill>
          </w14:textFill>
        </w:rPr>
        <w:t>，有关损失按规定予以核销并做好账务处理。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【信息报送】</w:t>
      </w:r>
      <w:r>
        <w:rPr>
          <w:rFonts w:eastAsia="仿宋_GB2312"/>
          <w:color w:val="000000" w:themeColor="text1"/>
          <w:sz w:val="32"/>
          <w:szCs w:val="32"/>
          <w:highlight w:val="none"/>
          <w:u w:val="none" w:color="auto"/>
          <w14:textFill>
            <w14:solidFill>
              <w14:schemeClr w14:val="tx1"/>
            </w14:solidFill>
          </w14:textFill>
        </w:rPr>
        <w:t>基金管理各方按照规定做好信息收集、监控、报送和披露相关工作。</w:t>
      </w:r>
    </w:p>
    <w:p>
      <w:pPr>
        <w:keepNext w:val="0"/>
        <w:keepLines w:val="0"/>
        <w:pageBreakBefore w:val="0"/>
        <w:widowControl w:val="0"/>
        <w:numPr>
          <w:ilvl w:val="0"/>
          <w:numId w:val="2"/>
        </w:numPr>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基金管理人应定期向业务主管部门、财政部门报送基金运行情况简报，</w:t>
      </w:r>
      <w:r>
        <w:rPr>
          <w:rFonts w:eastAsia="仿宋_GB2312"/>
          <w:bCs/>
          <w:color w:val="000000" w:themeColor="text1"/>
          <w:sz w:val="32"/>
          <w:szCs w:val="32"/>
          <w:highlight w:val="none"/>
          <w:u w:val="none" w:color="auto"/>
          <w14:textFill>
            <w14:solidFill>
              <w14:schemeClr w14:val="tx1"/>
            </w14:solidFill>
          </w14:textFill>
        </w:rPr>
        <w:t>年度终了后及时</w:t>
      </w:r>
      <w:r>
        <w:rPr>
          <w:rFonts w:eastAsia="仿宋_GB2312"/>
          <w:color w:val="000000" w:themeColor="text1"/>
          <w:sz w:val="32"/>
          <w:szCs w:val="32"/>
          <w:highlight w:val="none"/>
          <w:u w:val="none" w:color="auto"/>
          <w14:textFill>
            <w14:solidFill>
              <w14:schemeClr w14:val="tx1"/>
            </w14:solidFill>
          </w14:textFill>
        </w:rPr>
        <w:t>报送基金年度运行情况</w:t>
      </w:r>
      <w:r>
        <w:rPr>
          <w:rFonts w:hint="eastAsia" w:eastAsia="仿宋_GB2312"/>
          <w:color w:val="000000" w:themeColor="text1"/>
          <w:sz w:val="32"/>
          <w:szCs w:val="32"/>
          <w:highlight w:val="none"/>
          <w:u w:val="none" w:color="auto"/>
          <w14:textFill>
            <w14:solidFill>
              <w14:schemeClr w14:val="tx1"/>
            </w14:solidFill>
          </w14:textFill>
        </w:rPr>
        <w:t>；及时向业务主管部门、财政部门报送可能影响基金正常运营、产生大额投资损失、潜在重大风险等重大事项。</w:t>
      </w:r>
    </w:p>
    <w:p>
      <w:pPr>
        <w:numPr>
          <w:ilvl w:val="0"/>
          <w:numId w:val="2"/>
        </w:numPr>
        <w:snapToGrid w:val="0"/>
        <w:spacing w:line="360" w:lineRule="auto"/>
        <w:ind w:firstLine="645" w:firstLineChars="0"/>
        <w:jc w:val="both"/>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受托管理机构应定期向财政部门报告政府出资使用情况、资产负债和投资损益情况，以及其他可能影响投资者权益</w:t>
      </w:r>
      <w:r>
        <w:rPr>
          <w:rFonts w:eastAsia="仿宋_GB2312"/>
          <w:color w:val="000000" w:themeColor="text1"/>
          <w:spacing w:val="-11"/>
          <w:sz w:val="32"/>
          <w:szCs w:val="32"/>
          <w:highlight w:val="none"/>
          <w:u w:val="none" w:color="auto"/>
          <w14:textFill>
            <w14:solidFill>
              <w14:schemeClr w14:val="tx1"/>
            </w14:solidFill>
          </w14:textFill>
        </w:rPr>
        <w:t>的重大情况。采取注资国有企业设立的，由相关国有企业负责报送。</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第三十一条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【信息统计和信用信息】</w:t>
      </w:r>
      <w:r>
        <w:rPr>
          <w:rFonts w:eastAsia="仿宋_GB2312"/>
          <w:color w:val="000000" w:themeColor="text1"/>
          <w:sz w:val="32"/>
          <w:szCs w:val="32"/>
          <w:highlight w:val="none"/>
          <w:u w:val="none" w:color="auto"/>
          <w14:textFill>
            <w14:solidFill>
              <w14:schemeClr w14:val="tx1"/>
            </w14:solidFill>
          </w14:textFill>
        </w:rPr>
        <w:t>各级财政部门应定期统计、动态</w:t>
      </w:r>
      <w:r>
        <w:rPr>
          <w:rFonts w:hint="eastAsia" w:eastAsia="仿宋_GB2312"/>
          <w:color w:val="000000" w:themeColor="text1"/>
          <w:sz w:val="32"/>
          <w:szCs w:val="32"/>
          <w:highlight w:val="none"/>
          <w:u w:val="none" w:color="auto"/>
          <w14:textFill>
            <w14:solidFill>
              <w14:schemeClr w14:val="tx1"/>
            </w14:solidFill>
          </w14:textFill>
        </w:rPr>
        <w:t>更新</w:t>
      </w:r>
      <w:r>
        <w:rPr>
          <w:rFonts w:eastAsia="仿宋_GB2312"/>
          <w:color w:val="000000" w:themeColor="text1"/>
          <w:sz w:val="32"/>
          <w:szCs w:val="32"/>
          <w:highlight w:val="none"/>
          <w:u w:val="none" w:color="auto"/>
          <w14:textFill>
            <w14:solidFill>
              <w14:schemeClr w14:val="tx1"/>
            </w14:solidFill>
          </w14:textFill>
        </w:rPr>
        <w:t>本地区政府投资基金目录清单，各级发展改革部门做好本地区政府投资基金信用建设和信用信息登记。</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both"/>
        <w:textAlignment w:val="auto"/>
        <w:outlineLvl w:val="0"/>
        <w:rPr>
          <w:rFonts w:eastAsia="黑体"/>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outlineLvl w:val="0"/>
        <w:rPr>
          <w:rFonts w:eastAsia="仿宋_GB2312"/>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第</w:t>
      </w:r>
      <w:r>
        <w:rPr>
          <w:rFonts w:hint="eastAsia" w:eastAsia="黑体"/>
          <w:color w:val="000000" w:themeColor="text1"/>
          <w:sz w:val="32"/>
          <w:szCs w:val="32"/>
          <w:highlight w:val="none"/>
          <w:u w:val="none" w:color="auto"/>
          <w14:textFill>
            <w14:solidFill>
              <w14:schemeClr w14:val="tx1"/>
            </w14:solidFill>
          </w14:textFill>
        </w:rPr>
        <w:t>五</w:t>
      </w:r>
      <w:r>
        <w:rPr>
          <w:rFonts w:eastAsia="黑体"/>
          <w:color w:val="000000" w:themeColor="text1"/>
          <w:sz w:val="32"/>
          <w:szCs w:val="32"/>
          <w:highlight w:val="none"/>
          <w:u w:val="none" w:color="auto"/>
          <w14:textFill>
            <w14:solidFill>
              <w14:schemeClr w14:val="tx1"/>
            </w14:solidFill>
          </w14:textFill>
        </w:rPr>
        <w:t xml:space="preserve">章 </w:t>
      </w:r>
      <w:r>
        <w:rPr>
          <w:rFonts w:hint="eastAsia" w:eastAsia="黑体"/>
          <w:color w:val="000000" w:themeColor="text1"/>
          <w:sz w:val="32"/>
          <w:szCs w:val="32"/>
          <w:highlight w:val="none"/>
          <w:u w:val="none" w:color="auto"/>
          <w14:textFill>
            <w14:solidFill>
              <w14:schemeClr w14:val="tx1"/>
            </w14:solidFill>
          </w14:textFill>
        </w:rPr>
        <w:t xml:space="preserve"> </w:t>
      </w:r>
      <w:r>
        <w:rPr>
          <w:rFonts w:eastAsia="黑体"/>
          <w:color w:val="000000" w:themeColor="text1"/>
          <w:sz w:val="32"/>
          <w:szCs w:val="32"/>
          <w:highlight w:val="none"/>
          <w:u w:val="none" w:color="auto"/>
          <w14:textFill>
            <w14:solidFill>
              <w14:schemeClr w14:val="tx1"/>
            </w14:solidFill>
          </w14:textFill>
        </w:rPr>
        <w:t>职责分工</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both"/>
        <w:textAlignment w:val="auto"/>
        <w:rPr>
          <w:rFonts w:eastAsia="黑体"/>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第三十二条</w:t>
      </w:r>
      <w:r>
        <w:rPr>
          <w:rFonts w:hint="eastAsia" w:eastAsia="仿宋_GB2312"/>
          <w:b/>
          <w:bCs/>
          <w:color w:val="000000" w:themeColor="text1"/>
          <w:sz w:val="32"/>
          <w:szCs w:val="32"/>
          <w:highlight w:val="none"/>
          <w:u w:val="none" w:color="auto"/>
          <w14:textFill>
            <w14:solidFill>
              <w14:schemeClr w14:val="tx1"/>
            </w14:solidFill>
          </w14:textFill>
        </w:rPr>
        <w:t xml:space="preserve">  </w:t>
      </w:r>
      <w:r>
        <w:rPr>
          <w:rFonts w:eastAsia="仿宋_GB2312"/>
          <w:b/>
          <w:color w:val="000000" w:themeColor="text1"/>
          <w:sz w:val="32"/>
          <w:szCs w:val="32"/>
          <w:highlight w:val="none"/>
          <w:u w:val="none" w:color="auto"/>
          <w14:textFill>
            <w14:solidFill>
              <w14:schemeClr w14:val="tx1"/>
            </w14:solidFill>
          </w14:textFill>
        </w:rPr>
        <w:t>【财政部门职责】</w:t>
      </w:r>
      <w:r>
        <w:rPr>
          <w:rFonts w:eastAsia="仿宋_GB2312"/>
          <w:bCs/>
          <w:color w:val="000000" w:themeColor="text1"/>
          <w:sz w:val="32"/>
          <w:szCs w:val="32"/>
          <w:highlight w:val="none"/>
          <w:u w:val="none" w:color="auto"/>
          <w14:textFill>
            <w14:solidFill>
              <w14:schemeClr w14:val="tx1"/>
            </w14:solidFill>
          </w14:textFill>
        </w:rPr>
        <w:t>财政部门</w:t>
      </w:r>
      <w:r>
        <w:rPr>
          <w:rFonts w:hint="eastAsia" w:eastAsia="仿宋_GB2312"/>
          <w:bCs/>
          <w:color w:val="000000" w:themeColor="text1"/>
          <w:sz w:val="32"/>
          <w:szCs w:val="32"/>
          <w:highlight w:val="none"/>
          <w:u w:val="none" w:color="auto"/>
          <w14:textFill>
            <w14:solidFill>
              <w14:schemeClr w14:val="tx1"/>
            </w14:solidFill>
          </w14:textFill>
        </w:rPr>
        <w:t>履行政府出资人职责，</w:t>
      </w:r>
      <w:r>
        <w:rPr>
          <w:rFonts w:eastAsia="仿宋_GB2312"/>
          <w:color w:val="000000" w:themeColor="text1"/>
          <w:sz w:val="32"/>
          <w:szCs w:val="32"/>
          <w:highlight w:val="none"/>
          <w:u w:val="none" w:color="auto"/>
          <w14:textFill>
            <w14:solidFill>
              <w14:schemeClr w14:val="tx1"/>
            </w14:solidFill>
          </w14:textFill>
        </w:rPr>
        <w:t>负责政府投资基金的预算管理、</w:t>
      </w:r>
      <w:r>
        <w:rPr>
          <w:rFonts w:hint="eastAsia" w:eastAsia="仿宋_GB2312"/>
          <w:color w:val="000000" w:themeColor="text1"/>
          <w:sz w:val="32"/>
          <w:szCs w:val="32"/>
          <w:highlight w:val="none"/>
          <w:u w:val="none" w:color="auto"/>
          <w14:textFill>
            <w14:solidFill>
              <w14:schemeClr w14:val="tx1"/>
            </w14:solidFill>
          </w14:textFill>
        </w:rPr>
        <w:t>绩效管理、</w:t>
      </w:r>
      <w:r>
        <w:rPr>
          <w:rFonts w:eastAsia="仿宋_GB2312"/>
          <w:color w:val="000000" w:themeColor="text1"/>
          <w:sz w:val="32"/>
          <w:szCs w:val="32"/>
          <w:highlight w:val="none"/>
          <w:u w:val="none" w:color="auto"/>
          <w14:textFill>
            <w14:solidFill>
              <w14:schemeClr w14:val="tx1"/>
            </w14:solidFill>
          </w14:textFill>
        </w:rPr>
        <w:t>国有资产管理和信息统计工作</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牵头制定基金管理、绩效</w:t>
      </w:r>
      <w:r>
        <w:rPr>
          <w:rFonts w:hint="eastAsia" w:eastAsia="仿宋_GB2312"/>
          <w:color w:val="000000" w:themeColor="text1"/>
          <w:sz w:val="32"/>
          <w:szCs w:val="32"/>
          <w:highlight w:val="none"/>
          <w:u w:val="none" w:color="auto"/>
          <w14:textFill>
            <w14:solidFill>
              <w14:schemeClr w14:val="tx1"/>
            </w14:solidFill>
          </w14:textFill>
        </w:rPr>
        <w:t>管理</w:t>
      </w:r>
      <w:r>
        <w:rPr>
          <w:rFonts w:eastAsia="仿宋_GB2312"/>
          <w:color w:val="000000" w:themeColor="text1"/>
          <w:sz w:val="32"/>
          <w:szCs w:val="32"/>
          <w:highlight w:val="none"/>
          <w:u w:val="none" w:color="auto"/>
          <w14:textFill>
            <w14:solidFill>
              <w14:schemeClr w14:val="tx1"/>
            </w14:solidFill>
          </w14:textFill>
        </w:rPr>
        <w:t>制度和有关政策文件，审核基金</w:t>
      </w:r>
      <w:r>
        <w:rPr>
          <w:rFonts w:hint="eastAsia" w:eastAsia="仿宋_GB2312"/>
          <w:color w:val="000000" w:themeColor="text1"/>
          <w:sz w:val="32"/>
          <w:szCs w:val="32"/>
          <w:highlight w:val="none"/>
          <w:u w:val="none" w:color="auto"/>
          <w14:textFill>
            <w14:solidFill>
              <w14:schemeClr w14:val="tx1"/>
            </w14:solidFill>
          </w14:textFill>
        </w:rPr>
        <w:t>组建方案，</w:t>
      </w:r>
      <w:r>
        <w:rPr>
          <w:rFonts w:eastAsia="仿宋_GB2312"/>
          <w:color w:val="000000" w:themeColor="text1"/>
          <w:sz w:val="32"/>
          <w:szCs w:val="32"/>
          <w:highlight w:val="none"/>
          <w:u w:val="none" w:color="auto"/>
          <w14:textFill>
            <w14:solidFill>
              <w14:schemeClr w14:val="tx1"/>
            </w14:solidFill>
          </w14:textFill>
        </w:rPr>
        <w:t>配合业务主管部门遴选或确定受托管理机构、基金管理人和托管银行</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以及开展绩效</w:t>
      </w:r>
      <w:r>
        <w:rPr>
          <w:rFonts w:hint="eastAsia" w:eastAsia="仿宋_GB2312"/>
          <w:color w:val="000000" w:themeColor="text1"/>
          <w:sz w:val="32"/>
          <w:szCs w:val="32"/>
          <w:highlight w:val="none"/>
          <w:u w:val="none" w:color="auto"/>
          <w14:textFill>
            <w14:solidFill>
              <w14:schemeClr w14:val="tx1"/>
            </w14:solidFill>
          </w14:textFill>
        </w:rPr>
        <w:t>考核</w:t>
      </w:r>
      <w:r>
        <w:rPr>
          <w:rFonts w:eastAsia="仿宋_GB2312"/>
          <w:color w:val="000000" w:themeColor="text1"/>
          <w:sz w:val="32"/>
          <w:szCs w:val="32"/>
          <w:highlight w:val="none"/>
          <w:u w:val="none" w:color="auto"/>
          <w14:textFill>
            <w14:solidFill>
              <w14:schemeClr w14:val="tx1"/>
            </w14:solidFill>
          </w14:textFill>
        </w:rPr>
        <w:t>等工作</w:t>
      </w:r>
      <w:r>
        <w:rPr>
          <w:rFonts w:hint="eastAsia" w:eastAsia="仿宋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第三十三条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【发改部门职责】</w:t>
      </w:r>
      <w:r>
        <w:rPr>
          <w:rFonts w:eastAsia="仿宋_GB2312"/>
          <w:color w:val="000000" w:themeColor="text1"/>
          <w:sz w:val="32"/>
          <w:szCs w:val="32"/>
          <w:highlight w:val="none"/>
          <w:u w:val="none" w:color="auto"/>
          <w14:textFill>
            <w14:solidFill>
              <w14:schemeClr w14:val="tx1"/>
            </w14:solidFill>
          </w14:textFill>
        </w:rPr>
        <w:t>发展改革部门</w:t>
      </w:r>
      <w:r>
        <w:rPr>
          <w:rFonts w:hint="eastAsia" w:eastAsia="仿宋_GB2312"/>
          <w:color w:val="000000" w:themeColor="text1"/>
          <w:sz w:val="32"/>
          <w:szCs w:val="32"/>
          <w:highlight w:val="none"/>
          <w:u w:val="none" w:color="auto"/>
          <w14:textFill>
            <w14:solidFill>
              <w14:schemeClr w14:val="tx1"/>
            </w14:solidFill>
          </w14:textFill>
        </w:rPr>
        <w:t>负责</w:t>
      </w:r>
      <w:r>
        <w:rPr>
          <w:rFonts w:eastAsia="仿宋_GB2312"/>
          <w:color w:val="000000" w:themeColor="text1"/>
          <w:sz w:val="32"/>
          <w:szCs w:val="32"/>
          <w:highlight w:val="none"/>
          <w:u w:val="none" w:color="auto"/>
          <w14:textFill>
            <w14:solidFill>
              <w14:schemeClr w14:val="tx1"/>
            </w14:solidFill>
          </w14:textFill>
        </w:rPr>
        <w:t>政府投资基金信用建设和信用信息登记，牵头制定重点投资领域清单</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会同相关</w:t>
      </w:r>
      <w:r>
        <w:rPr>
          <w:rFonts w:hint="eastAsia" w:eastAsia="仿宋_GB2312"/>
          <w:color w:val="000000" w:themeColor="text1"/>
          <w:sz w:val="32"/>
          <w:szCs w:val="32"/>
          <w:highlight w:val="none"/>
          <w:u w:val="none" w:color="auto"/>
          <w14:textFill>
            <w14:solidFill>
              <w14:schemeClr w14:val="tx1"/>
            </w14:solidFill>
          </w14:textFill>
        </w:rPr>
        <w:t>业务主管部门</w:t>
      </w:r>
      <w:r>
        <w:rPr>
          <w:rFonts w:eastAsia="仿宋_GB2312"/>
          <w:color w:val="000000" w:themeColor="text1"/>
          <w:sz w:val="32"/>
          <w:szCs w:val="32"/>
          <w:highlight w:val="none"/>
          <w:u w:val="none" w:color="auto"/>
          <w14:textFill>
            <w14:solidFill>
              <w14:schemeClr w14:val="tx1"/>
            </w14:solidFill>
          </w14:textFill>
        </w:rPr>
        <w:t>加强政府投资基金投向统筹和指导评价等</w:t>
      </w:r>
      <w:r>
        <w:rPr>
          <w:rFonts w:hint="eastAsia" w:eastAsia="仿宋_GB2312"/>
          <w:color w:val="000000" w:themeColor="text1"/>
          <w:sz w:val="32"/>
          <w:szCs w:val="32"/>
          <w:highlight w:val="none"/>
          <w:u w:val="none" w:color="auto"/>
          <w14:textFill>
            <w14:solidFill>
              <w14:schemeClr w14:val="tx1"/>
            </w14:solidFill>
          </w14:textFill>
        </w:rPr>
        <w:t>工作</w:t>
      </w:r>
      <w:r>
        <w:rPr>
          <w:rFonts w:eastAsia="仿宋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第三十四条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【业务部门职责】</w:t>
      </w:r>
      <w:r>
        <w:rPr>
          <w:rFonts w:eastAsia="仿宋_GB2312"/>
          <w:color w:val="000000" w:themeColor="text1"/>
          <w:sz w:val="32"/>
          <w:szCs w:val="32"/>
          <w:highlight w:val="none"/>
          <w:u w:val="none" w:color="auto"/>
          <w14:textFill>
            <w14:solidFill>
              <w14:schemeClr w14:val="tx1"/>
            </w14:solidFill>
          </w14:textFill>
        </w:rPr>
        <w:t>业务主管部门</w:t>
      </w:r>
      <w:r>
        <w:rPr>
          <w:rFonts w:hint="eastAsia" w:eastAsia="仿宋_GB2312"/>
          <w:color w:val="000000" w:themeColor="text1"/>
          <w:sz w:val="32"/>
          <w:szCs w:val="32"/>
          <w:highlight w:val="none"/>
          <w:u w:val="none" w:color="auto"/>
          <w14:textFill>
            <w14:solidFill>
              <w14:schemeClr w14:val="tx1"/>
            </w14:solidFill>
          </w14:textFill>
        </w:rPr>
        <w:t>负责将基金组建方案报同级政府审批，督促</w:t>
      </w:r>
      <w:r>
        <w:rPr>
          <w:rFonts w:eastAsia="仿宋_GB2312"/>
          <w:color w:val="000000" w:themeColor="text1"/>
          <w:sz w:val="32"/>
          <w:szCs w:val="32"/>
          <w:highlight w:val="none"/>
          <w:u w:val="none" w:color="auto"/>
          <w14:textFill>
            <w14:solidFill>
              <w14:schemeClr w14:val="tx1"/>
            </w14:solidFill>
          </w14:textFill>
        </w:rPr>
        <w:t>基金</w:t>
      </w:r>
      <w:r>
        <w:rPr>
          <w:rFonts w:hint="eastAsia" w:eastAsia="仿宋_GB2312"/>
          <w:color w:val="000000" w:themeColor="text1"/>
          <w:sz w:val="32"/>
          <w:szCs w:val="32"/>
          <w:highlight w:val="none"/>
          <w:u w:val="none" w:color="auto"/>
          <w14:textFill>
            <w14:solidFill>
              <w14:schemeClr w14:val="tx1"/>
            </w14:solidFill>
          </w14:textFill>
        </w:rPr>
        <w:t>管理机构按照基金组建方案开展</w:t>
      </w:r>
      <w:r>
        <w:rPr>
          <w:rFonts w:eastAsia="仿宋_GB2312"/>
          <w:color w:val="000000" w:themeColor="text1"/>
          <w:sz w:val="32"/>
          <w:szCs w:val="32"/>
          <w:highlight w:val="none"/>
          <w:u w:val="none" w:color="auto"/>
          <w14:textFill>
            <w14:solidFill>
              <w14:schemeClr w14:val="tx1"/>
            </w14:solidFill>
          </w14:textFill>
        </w:rPr>
        <w:t>投资</w:t>
      </w:r>
      <w:r>
        <w:rPr>
          <w:rFonts w:hint="eastAsia" w:eastAsia="仿宋_GB2312"/>
          <w:color w:val="000000" w:themeColor="text1"/>
          <w:sz w:val="32"/>
          <w:szCs w:val="32"/>
          <w:highlight w:val="none"/>
          <w:u w:val="none" w:color="auto"/>
          <w14:textFill>
            <w14:solidFill>
              <w14:schemeClr w14:val="tx1"/>
            </w14:solidFill>
          </w14:textFill>
        </w:rPr>
        <w:t>运营</w:t>
      </w:r>
      <w:r>
        <w:rPr>
          <w:rFonts w:eastAsia="仿宋_GB2312"/>
          <w:color w:val="000000" w:themeColor="text1"/>
          <w:sz w:val="32"/>
          <w:szCs w:val="32"/>
          <w:highlight w:val="none"/>
          <w:u w:val="none" w:color="auto"/>
          <w14:textFill>
            <w14:solidFill>
              <w14:schemeClr w14:val="tx1"/>
            </w14:solidFill>
          </w14:textFill>
        </w:rPr>
        <w:t>，</w:t>
      </w:r>
      <w:r>
        <w:rPr>
          <w:rFonts w:hint="eastAsia" w:eastAsia="仿宋_GB2312"/>
          <w:color w:val="000000" w:themeColor="text1"/>
          <w:sz w:val="32"/>
          <w:szCs w:val="32"/>
          <w:highlight w:val="none"/>
          <w:u w:val="none" w:color="auto"/>
          <w14:textFill>
            <w14:solidFill>
              <w14:schemeClr w14:val="tx1"/>
            </w14:solidFill>
          </w14:textFill>
        </w:rPr>
        <w:t>牵头</w:t>
      </w:r>
      <w:r>
        <w:rPr>
          <w:rFonts w:eastAsia="仿宋_GB2312"/>
          <w:color w:val="000000" w:themeColor="text1"/>
          <w:sz w:val="32"/>
          <w:szCs w:val="32"/>
          <w:highlight w:val="none"/>
          <w:u w:val="none" w:color="auto"/>
          <w14:textFill>
            <w14:solidFill>
              <w14:schemeClr w14:val="tx1"/>
            </w14:solidFill>
          </w14:textFill>
        </w:rPr>
        <w:t>遴选或确定受托管理机构、基金管理人和托管银行</w:t>
      </w:r>
      <w:r>
        <w:rPr>
          <w:rFonts w:hint="eastAsia" w:eastAsia="仿宋_GB2312"/>
          <w:color w:val="000000" w:themeColor="text1"/>
          <w:sz w:val="32"/>
          <w:szCs w:val="32"/>
          <w:highlight w:val="none"/>
          <w:u w:val="none" w:color="auto"/>
          <w14:textFill>
            <w14:solidFill>
              <w14:schemeClr w14:val="tx1"/>
            </w14:solidFill>
          </w14:textFill>
        </w:rPr>
        <w:t>，制定绩效考核办法并组织</w:t>
      </w:r>
      <w:r>
        <w:rPr>
          <w:rFonts w:eastAsia="仿宋_GB2312"/>
          <w:color w:val="000000" w:themeColor="text1"/>
          <w:sz w:val="32"/>
          <w:szCs w:val="32"/>
          <w:highlight w:val="none"/>
          <w:u w:val="none" w:color="auto"/>
          <w14:textFill>
            <w14:solidFill>
              <w14:schemeClr w14:val="tx1"/>
            </w14:solidFill>
          </w14:textFill>
        </w:rPr>
        <w:t>开展绩效</w:t>
      </w:r>
      <w:r>
        <w:rPr>
          <w:rFonts w:hint="eastAsia" w:eastAsia="仿宋_GB2312"/>
          <w:color w:val="000000" w:themeColor="text1"/>
          <w:sz w:val="32"/>
          <w:szCs w:val="32"/>
          <w:highlight w:val="none"/>
          <w:u w:val="none" w:color="auto"/>
          <w14:textFill>
            <w14:solidFill>
              <w14:schemeClr w14:val="tx1"/>
            </w14:solidFill>
          </w14:textFill>
        </w:rPr>
        <w:t>考核</w:t>
      </w:r>
      <w:r>
        <w:rPr>
          <w:rFonts w:eastAsia="仿宋_GB2312"/>
          <w:color w:val="000000" w:themeColor="text1"/>
          <w:sz w:val="32"/>
          <w:szCs w:val="32"/>
          <w:highlight w:val="none"/>
          <w:u w:val="none" w:color="auto"/>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第三十五条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color w:val="000000" w:themeColor="text1"/>
          <w:sz w:val="32"/>
          <w:szCs w:val="32"/>
          <w:highlight w:val="none"/>
          <w:u w:val="none" w:color="auto"/>
          <w14:textFill>
            <w14:solidFill>
              <w14:schemeClr w14:val="tx1"/>
            </w14:solidFill>
          </w14:textFill>
        </w:rPr>
        <w:t xml:space="preserve">【受托机构职责】 </w:t>
      </w:r>
      <w:r>
        <w:rPr>
          <w:rFonts w:eastAsia="仿宋_GB2312"/>
          <w:color w:val="000000" w:themeColor="text1"/>
          <w:sz w:val="32"/>
          <w:szCs w:val="32"/>
          <w:highlight w:val="none"/>
          <w:u w:val="none" w:color="auto"/>
          <w14:textFill>
            <w14:solidFill>
              <w14:schemeClr w14:val="tx1"/>
            </w14:solidFill>
          </w14:textFill>
        </w:rPr>
        <w:t>受</w:t>
      </w:r>
      <w:r>
        <w:rPr>
          <w:rFonts w:eastAsia="仿宋_GB2312"/>
          <w:bCs/>
          <w:color w:val="000000" w:themeColor="text1"/>
          <w:sz w:val="32"/>
          <w:szCs w:val="32"/>
          <w:highlight w:val="none"/>
          <w:u w:val="none" w:color="auto"/>
          <w14:textFill>
            <w14:solidFill>
              <w14:schemeClr w14:val="tx1"/>
            </w14:solidFill>
          </w14:textFill>
        </w:rPr>
        <w:t>托管理机构根据授权代行政府出资人职责，</w:t>
      </w:r>
      <w:r>
        <w:rPr>
          <w:rFonts w:hint="eastAsia" w:eastAsia="仿宋_GB2312"/>
          <w:bCs/>
          <w:color w:val="000000" w:themeColor="text1"/>
          <w:sz w:val="32"/>
          <w:szCs w:val="32"/>
          <w:highlight w:val="none"/>
          <w:u w:val="none" w:color="auto"/>
          <w14:textFill>
            <w14:solidFill>
              <w14:schemeClr w14:val="tx1"/>
            </w14:solidFill>
          </w14:textFill>
        </w:rPr>
        <w:t>负责督促基金管理人按照基金组建方案及协议约定开展投资运营</w:t>
      </w:r>
      <w:r>
        <w:rPr>
          <w:rFonts w:hint="eastAsia" w:eastAsia="仿宋_GB2312"/>
          <w:color w:val="000000" w:themeColor="text1"/>
          <w:sz w:val="32"/>
          <w:szCs w:val="32"/>
          <w:highlight w:val="none"/>
          <w:u w:val="none" w:color="auto"/>
          <w14:textFill>
            <w14:solidFill>
              <w14:schemeClr w14:val="tx1"/>
            </w14:solidFill>
          </w14:textFill>
        </w:rPr>
        <w:t>，上</w:t>
      </w:r>
      <w:r>
        <w:rPr>
          <w:rFonts w:eastAsia="仿宋_GB2312"/>
          <w:color w:val="000000" w:themeColor="text1"/>
          <w:sz w:val="32"/>
          <w:szCs w:val="32"/>
          <w:highlight w:val="none"/>
          <w:u w:val="none" w:color="auto"/>
          <w14:textFill>
            <w14:solidFill>
              <w14:schemeClr w14:val="tx1"/>
            </w14:solidFill>
          </w14:textFill>
        </w:rPr>
        <w:t>缴政府出资部分获得的分红收益等资金（含本金及收益）。</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b/>
          <w:bCs/>
          <w:color w:val="000000" w:themeColor="text1"/>
          <w:sz w:val="32"/>
          <w:szCs w:val="32"/>
          <w:highlight w:val="none"/>
          <w:u w:val="none" w:color="auto"/>
          <w14:textFill>
            <w14:solidFill>
              <w14:schemeClr w14:val="tx1"/>
            </w14:solidFill>
          </w14:textFill>
        </w:rPr>
        <w:t xml:space="preserve">    </w:t>
      </w: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第三十六条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【基金管理人职责】</w:t>
      </w:r>
      <w:r>
        <w:rPr>
          <w:rFonts w:eastAsia="仿宋_GB2312"/>
          <w:color w:val="000000" w:themeColor="text1"/>
          <w:sz w:val="32"/>
          <w:szCs w:val="32"/>
          <w:highlight w:val="none"/>
          <w:u w:val="none" w:color="auto"/>
          <w14:textFill>
            <w14:solidFill>
              <w14:schemeClr w14:val="tx1"/>
            </w14:solidFill>
          </w14:textFill>
        </w:rPr>
        <w:t>基金管理人负责政府投资基金的日常运作，做好基金投后管理、项目退出、基金清算以及信息登记报送等工作。</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1"/>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第三十七条</w:t>
      </w:r>
      <w:r>
        <w:rPr>
          <w:rFonts w:hint="eastAsia" w:eastAsia="仿宋_GB2312"/>
          <w:b/>
          <w:bCs/>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bCs/>
          <w:color w:val="000000" w:themeColor="text1"/>
          <w:sz w:val="32"/>
          <w:szCs w:val="32"/>
          <w:highlight w:val="none"/>
          <w:u w:val="none" w:color="auto"/>
          <w:lang w:val="en-US" w:eastAsia="zh-CN"/>
          <w14:textFill>
            <w14:solidFill>
              <w14:schemeClr w14:val="tx1"/>
            </w14:solidFill>
          </w14:textFill>
        </w:rPr>
        <w:t xml:space="preserve"> </w:t>
      </w:r>
      <w:r>
        <w:rPr>
          <w:rFonts w:eastAsia="仿宋_GB2312"/>
          <w:b/>
          <w:bCs/>
          <w:color w:val="000000" w:themeColor="text1"/>
          <w:sz w:val="32"/>
          <w:szCs w:val="32"/>
          <w:highlight w:val="none"/>
          <w:u w:val="none" w:color="auto"/>
          <w14:textFill>
            <w14:solidFill>
              <w14:schemeClr w14:val="tx1"/>
            </w14:solidFill>
          </w14:textFill>
        </w:rPr>
        <w:t>【托管银行职责】</w:t>
      </w:r>
      <w:r>
        <w:rPr>
          <w:rFonts w:eastAsia="仿宋_GB2312"/>
          <w:color w:val="000000" w:themeColor="text1"/>
          <w:sz w:val="32"/>
          <w:szCs w:val="32"/>
          <w:highlight w:val="none"/>
          <w:u w:val="none" w:color="auto"/>
          <w14:textFill>
            <w14:solidFill>
              <w14:schemeClr w14:val="tx1"/>
            </w14:solidFill>
          </w14:textFill>
        </w:rPr>
        <w:t>基金托管银行依据托管协议负责账户管理、资金清算、资产保管等事务，对投资活动实施动态监管，定期向出资人提交托管报告。</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0" w:firstLineChars="200"/>
        <w:jc w:val="both"/>
        <w:textAlignment w:val="auto"/>
        <w:rPr>
          <w:rFonts w:eastAsia="仿宋_GB2312"/>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第</w:t>
      </w:r>
      <w:r>
        <w:rPr>
          <w:rFonts w:hint="eastAsia" w:eastAsia="黑体"/>
          <w:color w:val="000000" w:themeColor="text1"/>
          <w:sz w:val="32"/>
          <w:szCs w:val="32"/>
          <w:highlight w:val="none"/>
          <w:u w:val="none" w:color="auto"/>
          <w14:textFill>
            <w14:solidFill>
              <w14:schemeClr w14:val="tx1"/>
            </w14:solidFill>
          </w14:textFill>
        </w:rPr>
        <w:t>六</w:t>
      </w:r>
      <w:r>
        <w:rPr>
          <w:rFonts w:eastAsia="黑体"/>
          <w:color w:val="000000" w:themeColor="text1"/>
          <w:sz w:val="32"/>
          <w:szCs w:val="32"/>
          <w:highlight w:val="none"/>
          <w:u w:val="none" w:color="auto"/>
          <w14:textFill>
            <w14:solidFill>
              <w14:schemeClr w14:val="tx1"/>
            </w14:solidFill>
          </w14:textFill>
        </w:rPr>
        <w:t>章  附则</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both"/>
        <w:textAlignment w:val="auto"/>
        <w:rPr>
          <w:rFonts w:eastAsia="黑体"/>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第三十八条</w:t>
      </w:r>
      <w:r>
        <w:rPr>
          <w:rFonts w:hint="eastAsia" w:eastAsia="仿宋_GB2312"/>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color w:val="000000" w:themeColor="text1"/>
          <w:sz w:val="32"/>
          <w:szCs w:val="32"/>
          <w:highlight w:val="none"/>
          <w:u w:val="none" w:color="auto"/>
          <w:lang w:val="en-US" w:eastAsia="zh-CN"/>
          <w14:textFill>
            <w14:solidFill>
              <w14:schemeClr w14:val="tx1"/>
            </w14:solidFill>
          </w14:textFill>
        </w:rPr>
        <w:t xml:space="preserve"> </w:t>
      </w:r>
      <w:r>
        <w:rPr>
          <w:rFonts w:eastAsia="仿宋_GB2312"/>
          <w:color w:val="000000" w:themeColor="text1"/>
          <w:sz w:val="32"/>
          <w:szCs w:val="32"/>
          <w:highlight w:val="none"/>
          <w:u w:val="none" w:color="auto"/>
          <w14:textFill>
            <w14:solidFill>
              <w14:schemeClr w14:val="tx1"/>
            </w14:solidFill>
          </w14:textFill>
        </w:rPr>
        <w:t>政府投资基金参股国家级基金的，执行国家级基金相关规定；因贯彻落实国家战略等要求，与</w:t>
      </w:r>
      <w:r>
        <w:rPr>
          <w:rFonts w:hint="eastAsia" w:eastAsia="仿宋_GB2312"/>
          <w:color w:val="000000" w:themeColor="text1"/>
          <w:sz w:val="32"/>
          <w:szCs w:val="32"/>
          <w:highlight w:val="none"/>
          <w:u w:val="none" w:color="auto"/>
          <w14:textFill>
            <w14:solidFill>
              <w14:schemeClr w14:val="tx1"/>
            </w14:solidFill>
          </w14:textFill>
        </w:rPr>
        <w:t>其他</w:t>
      </w:r>
      <w:r>
        <w:rPr>
          <w:rFonts w:eastAsia="仿宋_GB2312"/>
          <w:color w:val="000000" w:themeColor="text1"/>
          <w:sz w:val="32"/>
          <w:szCs w:val="32"/>
          <w:highlight w:val="none"/>
          <w:u w:val="none" w:color="auto"/>
          <w14:textFill>
            <w14:solidFill>
              <w14:schemeClr w14:val="tx1"/>
            </w14:solidFill>
          </w14:textFill>
        </w:rPr>
        <w:t>省</w:t>
      </w:r>
      <w:r>
        <w:rPr>
          <w:rFonts w:hint="eastAsia" w:eastAsia="仿宋_GB2312"/>
          <w:color w:val="000000" w:themeColor="text1"/>
          <w:sz w:val="32"/>
          <w:szCs w:val="32"/>
          <w:highlight w:val="none"/>
          <w:u w:val="none" w:color="auto"/>
          <w14:textFill>
            <w14:solidFill>
              <w14:schemeClr w14:val="tx1"/>
            </w14:solidFill>
          </w14:textFill>
        </w:rPr>
        <w:t>（自治区、直辖</w:t>
      </w:r>
      <w:r>
        <w:rPr>
          <w:rFonts w:eastAsia="仿宋_GB2312"/>
          <w:color w:val="000000" w:themeColor="text1"/>
          <w:sz w:val="32"/>
          <w:szCs w:val="32"/>
          <w:highlight w:val="none"/>
          <w:u w:val="none" w:color="auto"/>
          <w14:textFill>
            <w14:solidFill>
              <w14:schemeClr w14:val="tx1"/>
            </w14:solidFill>
          </w14:textFill>
        </w:rPr>
        <w:t>市</w:t>
      </w:r>
      <w:r>
        <w:rPr>
          <w:rFonts w:hint="eastAsia" w:eastAsia="仿宋_GB2312"/>
          <w:color w:val="000000" w:themeColor="text1"/>
          <w:sz w:val="32"/>
          <w:szCs w:val="32"/>
          <w:highlight w:val="none"/>
          <w:u w:val="none" w:color="auto"/>
          <w14:textFill>
            <w14:solidFill>
              <w14:schemeClr w14:val="tx1"/>
            </w14:solidFill>
          </w14:textFill>
        </w:rPr>
        <w:t>）</w:t>
      </w:r>
      <w:r>
        <w:rPr>
          <w:rFonts w:eastAsia="仿宋_GB2312"/>
          <w:color w:val="000000" w:themeColor="text1"/>
          <w:sz w:val="32"/>
          <w:szCs w:val="32"/>
          <w:highlight w:val="none"/>
          <w:u w:val="none" w:color="auto"/>
          <w14:textFill>
            <w14:solidFill>
              <w14:schemeClr w14:val="tx1"/>
            </w14:solidFill>
          </w14:textFill>
        </w:rPr>
        <w:t>合作设立基金的，按各方协商确定的方案执行。</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eastAsia="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第三十九条</w:t>
      </w:r>
      <w:r>
        <w:rPr>
          <w:rFonts w:hint="eastAsia" w:eastAsia="仿宋_GB2312"/>
          <w:b/>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b/>
          <w:color w:val="000000" w:themeColor="text1"/>
          <w:sz w:val="32"/>
          <w:szCs w:val="32"/>
          <w:highlight w:val="none"/>
          <w:u w:val="none" w:color="auto"/>
          <w:lang w:val="en-US" w:eastAsia="zh-CN"/>
          <w14:textFill>
            <w14:solidFill>
              <w14:schemeClr w14:val="tx1"/>
            </w14:solidFill>
          </w14:textFill>
        </w:rPr>
        <w:t xml:space="preserve"> </w:t>
      </w:r>
      <w:r>
        <w:rPr>
          <w:rFonts w:hint="eastAsia" w:eastAsia="仿宋_GB2312"/>
          <w:b w:val="0"/>
          <w:bCs/>
          <w:color w:val="000000" w:themeColor="text1"/>
          <w:sz w:val="32"/>
          <w:szCs w:val="32"/>
          <w:highlight w:val="none"/>
          <w:u w:val="none" w:color="auto"/>
          <w14:textFill>
            <w14:solidFill>
              <w14:schemeClr w14:val="tx1"/>
            </w14:solidFill>
          </w14:textFill>
        </w:rPr>
        <w:t>地级以上</w:t>
      </w:r>
      <w:r>
        <w:rPr>
          <w:rFonts w:eastAsia="仿宋_GB2312"/>
          <w:bCs/>
          <w:color w:val="000000" w:themeColor="text1"/>
          <w:sz w:val="32"/>
          <w:szCs w:val="32"/>
          <w:highlight w:val="none"/>
          <w:u w:val="none" w:color="auto"/>
          <w14:textFill>
            <w14:solidFill>
              <w14:schemeClr w14:val="tx1"/>
            </w14:solidFill>
          </w14:textFill>
        </w:rPr>
        <w:t>市</w:t>
      </w:r>
      <w:r>
        <w:rPr>
          <w:rFonts w:eastAsia="仿宋_GB2312"/>
          <w:color w:val="000000" w:themeColor="text1"/>
          <w:sz w:val="32"/>
          <w:szCs w:val="32"/>
          <w:highlight w:val="none"/>
          <w:u w:val="none" w:color="auto"/>
          <w14:textFill>
            <w14:solidFill>
              <w14:schemeClr w14:val="tx1"/>
            </w14:solidFill>
          </w14:textFill>
        </w:rPr>
        <w:t>、</w:t>
      </w:r>
      <w:r>
        <w:rPr>
          <w:rFonts w:hint="eastAsia" w:eastAsia="仿宋_GB2312"/>
          <w:color w:val="000000" w:themeColor="text1"/>
          <w:sz w:val="32"/>
          <w:szCs w:val="32"/>
          <w:highlight w:val="none"/>
          <w:u w:val="none" w:color="auto"/>
          <w14:textFill>
            <w14:solidFill>
              <w14:schemeClr w14:val="tx1"/>
            </w14:solidFill>
          </w14:textFill>
        </w:rPr>
        <w:t>横琴粤澳深度合作区、</w:t>
      </w:r>
      <w:r>
        <w:rPr>
          <w:rFonts w:eastAsia="仿宋_GB2312"/>
          <w:color w:val="000000" w:themeColor="text1"/>
          <w:sz w:val="32"/>
          <w:szCs w:val="32"/>
          <w:highlight w:val="none"/>
          <w:u w:val="none" w:color="auto"/>
          <w14:textFill>
            <w14:solidFill>
              <w14:schemeClr w14:val="tx1"/>
            </w14:solidFill>
          </w14:textFill>
        </w:rPr>
        <w:t>县</w:t>
      </w:r>
      <w:r>
        <w:rPr>
          <w:rFonts w:hint="eastAsia" w:eastAsia="仿宋_GB2312"/>
          <w:color w:val="000000" w:themeColor="text1"/>
          <w:sz w:val="32"/>
          <w:szCs w:val="32"/>
          <w:highlight w:val="none"/>
          <w:u w:val="none" w:color="auto"/>
          <w14:textFill>
            <w14:solidFill>
              <w14:schemeClr w14:val="tx1"/>
            </w14:solidFill>
          </w14:textFill>
        </w:rPr>
        <w:t>（市、</w:t>
      </w:r>
      <w:r>
        <w:rPr>
          <w:rFonts w:hint="default" w:eastAsia="仿宋_GB2312"/>
          <w:color w:val="000000" w:themeColor="text1"/>
          <w:spacing w:val="-11"/>
          <w:sz w:val="32"/>
          <w:szCs w:val="32"/>
          <w:highlight w:val="none"/>
          <w:u w:val="none" w:color="auto"/>
          <w14:textFill>
            <w14:solidFill>
              <w14:schemeClr w14:val="tx1"/>
            </w14:solidFill>
          </w14:textFill>
        </w:rPr>
        <w:t>区）</w:t>
      </w:r>
      <w:r>
        <w:rPr>
          <w:rFonts w:eastAsia="仿宋_GB2312"/>
          <w:color w:val="000000" w:themeColor="text1"/>
          <w:spacing w:val="-11"/>
          <w:sz w:val="32"/>
          <w:szCs w:val="32"/>
          <w:highlight w:val="none"/>
          <w:u w:val="none" w:color="auto"/>
          <w14:textFill>
            <w14:solidFill>
              <w14:schemeClr w14:val="tx1"/>
            </w14:solidFill>
          </w14:textFill>
        </w:rPr>
        <w:t>可结合本办法及实际情况，制定本地区</w:t>
      </w:r>
      <w:r>
        <w:rPr>
          <w:rFonts w:hint="default" w:eastAsia="仿宋_GB2312"/>
          <w:color w:val="000000" w:themeColor="text1"/>
          <w:spacing w:val="-11"/>
          <w:sz w:val="32"/>
          <w:szCs w:val="32"/>
          <w:highlight w:val="none"/>
          <w:u w:val="none" w:color="auto"/>
          <w14:textFill>
            <w14:solidFill>
              <w14:schemeClr w14:val="tx1"/>
            </w14:solidFill>
          </w14:textFill>
        </w:rPr>
        <w:t>政府投资</w:t>
      </w:r>
      <w:r>
        <w:rPr>
          <w:rFonts w:eastAsia="仿宋_GB2312"/>
          <w:color w:val="000000" w:themeColor="text1"/>
          <w:spacing w:val="-11"/>
          <w:sz w:val="32"/>
          <w:szCs w:val="32"/>
          <w:highlight w:val="none"/>
          <w:u w:val="none" w:color="auto"/>
          <w14:textFill>
            <w14:solidFill>
              <w14:schemeClr w14:val="tx1"/>
            </w14:solidFill>
          </w14:textFill>
        </w:rPr>
        <w:t>基金管理办法。</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5"/>
        <w:jc w:val="both"/>
        <w:textAlignment w:val="auto"/>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黑体" w:hAnsi="黑体" w:eastAsia="黑体" w:cs="黑体"/>
          <w:b w:val="0"/>
          <w:bCs/>
          <w:color w:val="000000" w:themeColor="text1"/>
          <w:sz w:val="32"/>
          <w:szCs w:val="32"/>
          <w:highlight w:val="none"/>
          <w:u w:val="none" w:color="auto"/>
          <w14:textFill>
            <w14:solidFill>
              <w14:schemeClr w14:val="tx1"/>
            </w14:solidFill>
          </w14:textFill>
        </w:rPr>
        <w:t>第四十条</w:t>
      </w:r>
      <w:r>
        <w:rPr>
          <w:rFonts w:hint="eastAsia" w:eastAsia="仿宋_GB2312"/>
          <w:color w:val="000000" w:themeColor="text1"/>
          <w:sz w:val="32"/>
          <w:szCs w:val="32"/>
          <w:highlight w:val="none"/>
          <w:u w:val="none" w:color="auto"/>
          <w:lang w:eastAsia="zh-CN"/>
          <w14:textFill>
            <w14:solidFill>
              <w14:schemeClr w14:val="tx1"/>
            </w14:solidFill>
          </w14:textFill>
        </w:rPr>
        <w:t xml:space="preserve"> </w:t>
      </w:r>
      <w:r>
        <w:rPr>
          <w:rFonts w:hint="eastAsia" w:eastAsia="仿宋_GB2312"/>
          <w:color w:val="000000" w:themeColor="text1"/>
          <w:sz w:val="32"/>
          <w:szCs w:val="32"/>
          <w:highlight w:val="none"/>
          <w:u w:val="none" w:color="auto"/>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本办法自印发之日起实施，由省财政厅负责解释。《广东省政府投资基金管理实施办法（试行）》（粤财预〔2016〕178号）同时废止。</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contextualSpacing/>
        <w:jc w:val="both"/>
        <w:textAlignment w:val="auto"/>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641"/>
        <w:contextualSpacing/>
        <w:jc w:val="both"/>
        <w:textAlignment w:val="auto"/>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附件：1.基金政府出资受托管理机构、基金管理人、托管银</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ab/>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ab/>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ab/>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ab/>
      </w:r>
      <w:r>
        <w:rPr>
          <w:rFonts w:hint="eastAsia" w:ascii="仿宋_GB2312" w:hAnsi="仿宋_GB2312" w:eastAsia="仿宋_GB2312" w:cs="仿宋_GB2312"/>
          <w:color w:val="000000" w:themeColor="text1"/>
          <w:sz w:val="44"/>
          <w:szCs w:val="44"/>
          <w:highlight w:val="none"/>
          <w:u w:val="none" w:color="auto"/>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行准入条件及有关要求</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contextualSpacing/>
        <w:jc w:val="both"/>
        <w:textAlignment w:val="auto"/>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 xml:space="preserve">          2.基金管理费用计提规则及有关标准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both"/>
        <w:textAlignment w:val="auto"/>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br w:type="page"/>
      </w:r>
    </w:p>
    <w:p>
      <w:pPr>
        <w:contextualSpacing/>
        <w:rPr>
          <w:rFonts w:eastAsia="黑体"/>
          <w:bCs/>
          <w:color w:val="000000" w:themeColor="text1"/>
          <w:sz w:val="32"/>
          <w:szCs w:val="32"/>
          <w:highlight w:val="none"/>
          <w:u w:val="none" w:color="auto"/>
          <w14:textFill>
            <w14:solidFill>
              <w14:schemeClr w14:val="tx1"/>
            </w14:solidFill>
          </w14:textFill>
        </w:rPr>
      </w:pPr>
      <w:r>
        <w:rPr>
          <w:rFonts w:eastAsia="黑体"/>
          <w:bCs/>
          <w:color w:val="000000" w:themeColor="text1"/>
          <w:sz w:val="32"/>
          <w:szCs w:val="32"/>
          <w:highlight w:val="none"/>
          <w:u w:val="none" w:color="auto"/>
          <w14:textFill>
            <w14:solidFill>
              <w14:schemeClr w14:val="tx1"/>
            </w14:solidFill>
          </w14:textFill>
        </w:rPr>
        <w:t>附件1</w:t>
      </w:r>
    </w:p>
    <w:p>
      <w:pPr>
        <w:contextualSpacing/>
        <w:jc w:val="center"/>
        <w:rPr>
          <w:rFonts w:eastAsia="方正小标宋简体"/>
          <w:bCs/>
          <w:color w:val="000000" w:themeColor="text1"/>
          <w:sz w:val="44"/>
          <w:szCs w:val="44"/>
          <w:highlight w:val="none"/>
          <w:u w:val="none" w:color="auto"/>
          <w14:textFill>
            <w14:solidFill>
              <w14:schemeClr w14:val="tx1"/>
            </w14:solidFill>
          </w14:textFill>
        </w:rPr>
      </w:pPr>
      <w:r>
        <w:rPr>
          <w:rFonts w:eastAsia="方正小标宋简体"/>
          <w:bCs/>
          <w:color w:val="000000" w:themeColor="text1"/>
          <w:sz w:val="44"/>
          <w:szCs w:val="44"/>
          <w:highlight w:val="none"/>
          <w:u w:val="none" w:color="auto"/>
          <w14:textFill>
            <w14:solidFill>
              <w14:schemeClr w14:val="tx1"/>
            </w14:solidFill>
          </w14:textFill>
        </w:rPr>
        <w:t>受托管理机构、基金管理人和托管</w:t>
      </w:r>
    </w:p>
    <w:p>
      <w:pPr>
        <w:contextualSpacing/>
        <w:jc w:val="center"/>
        <w:rPr>
          <w:rFonts w:eastAsia="方正小标宋简体"/>
          <w:color w:val="000000" w:themeColor="text1"/>
          <w:sz w:val="44"/>
          <w:szCs w:val="44"/>
          <w:highlight w:val="none"/>
          <w:u w:val="none" w:color="auto"/>
          <w14:textFill>
            <w14:solidFill>
              <w14:schemeClr w14:val="tx1"/>
            </w14:solidFill>
          </w14:textFill>
        </w:rPr>
      </w:pPr>
      <w:r>
        <w:rPr>
          <w:rFonts w:eastAsia="方正小标宋简体"/>
          <w:bCs/>
          <w:color w:val="000000" w:themeColor="text1"/>
          <w:sz w:val="44"/>
          <w:szCs w:val="44"/>
          <w:highlight w:val="none"/>
          <w:u w:val="none" w:color="auto"/>
          <w14:textFill>
            <w14:solidFill>
              <w14:schemeClr w14:val="tx1"/>
            </w14:solidFill>
          </w14:textFill>
        </w:rPr>
        <w:t>银行准入条件及有关要求</w:t>
      </w:r>
    </w:p>
    <w:p>
      <w:pPr>
        <w:contextualSpacing/>
        <w:rPr>
          <w:rFonts w:eastAsia="仿宋_GB2312"/>
          <w:color w:val="000000" w:themeColor="text1"/>
          <w:sz w:val="32"/>
          <w:szCs w:val="32"/>
          <w:highlight w:val="none"/>
          <w:u w:val="none" w:color="auto"/>
          <w14:textFill>
            <w14:solidFill>
              <w14:schemeClr w14:val="tx1"/>
            </w14:solidFill>
          </w14:textFill>
        </w:rPr>
      </w:pPr>
    </w:p>
    <w:p>
      <w:pPr>
        <w:numPr>
          <w:ilvl w:val="255"/>
          <w:numId w:val="0"/>
        </w:numPr>
        <w:ind w:firstLine="640" w:firstLineChars="200"/>
        <w:jc w:val="left"/>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一、准入条件</w:t>
      </w:r>
    </w:p>
    <w:p>
      <w:pPr>
        <w:numPr>
          <w:ilvl w:val="255"/>
          <w:numId w:val="0"/>
        </w:numPr>
        <w:ind w:firstLine="640" w:firstLineChars="200"/>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基金政府出资受托管理机构、基金管理人和托管银行需满足以下条件：</w:t>
      </w:r>
    </w:p>
    <w:p>
      <w:pPr>
        <w:numPr>
          <w:ilvl w:val="255"/>
          <w:numId w:val="0"/>
        </w:numPr>
        <w:jc w:val="left"/>
        <w:rPr>
          <w:rFonts w:eastAsia="楷体_GB2312"/>
          <w:b/>
          <w:bCs/>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 xml:space="preserve">   </w:t>
      </w:r>
      <w:r>
        <w:rPr>
          <w:rFonts w:eastAsia="黑体"/>
          <w:b/>
          <w:bCs/>
          <w:color w:val="000000" w:themeColor="text1"/>
          <w:sz w:val="32"/>
          <w:szCs w:val="32"/>
          <w:highlight w:val="none"/>
          <w:u w:val="none" w:color="auto"/>
          <w14:textFill>
            <w14:solidFill>
              <w14:schemeClr w14:val="tx1"/>
            </w14:solidFill>
          </w14:textFill>
        </w:rPr>
        <w:t xml:space="preserve"> </w:t>
      </w:r>
      <w:r>
        <w:rPr>
          <w:rFonts w:eastAsia="楷体_GB2312"/>
          <w:b/>
          <w:bCs/>
          <w:color w:val="000000" w:themeColor="text1"/>
          <w:sz w:val="32"/>
          <w:szCs w:val="32"/>
          <w:highlight w:val="none"/>
          <w:u w:val="none" w:color="auto"/>
          <w14:textFill>
            <w14:solidFill>
              <w14:schemeClr w14:val="tx1"/>
            </w14:solidFill>
          </w14:textFill>
        </w:rPr>
        <w:t>（一）基金政府出资受托管理机构</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1.具有独立法人资格的公司；</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2.注册资本不低于1亿元人民币；</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3.至少5名从事3年以上投资基金相关经历的从业人员；</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4.有完善的投资基金管理制度；</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5.有作为出资人参与设立并管理投资基金的成功经验；</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6.最近三年以上保持良好的财务状况，没有受过行政主管机关或司法机关重大处罚的不良记录，严格按委托管理协议管理财政出资资金；</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7.财政部门规定标准以下最大限度降低政府投资基金政府出资管理费用。</w:t>
      </w:r>
    </w:p>
    <w:p>
      <w:pPr>
        <w:ind w:firstLine="640" w:firstLineChars="200"/>
        <w:jc w:val="left"/>
        <w:rPr>
          <w:rFonts w:eastAsia="楷体_GB2312"/>
          <w:b/>
          <w:bCs/>
          <w:color w:val="000000" w:themeColor="text1"/>
          <w:sz w:val="32"/>
          <w:szCs w:val="32"/>
          <w:highlight w:val="none"/>
          <w:u w:val="none" w:color="auto"/>
          <w14:textFill>
            <w14:solidFill>
              <w14:schemeClr w14:val="tx1"/>
            </w14:solidFill>
          </w14:textFill>
        </w:rPr>
      </w:pPr>
      <w:r>
        <w:rPr>
          <w:rFonts w:eastAsia="楷体_GB2312"/>
          <w:b/>
          <w:bCs/>
          <w:color w:val="000000" w:themeColor="text1"/>
          <w:sz w:val="32"/>
          <w:szCs w:val="32"/>
          <w:highlight w:val="none"/>
          <w:u w:val="none" w:color="auto"/>
          <w14:textFill>
            <w14:solidFill>
              <w14:schemeClr w14:val="tx1"/>
            </w14:solidFill>
          </w14:textFill>
        </w:rPr>
        <w:t>（二）基金管理人和一级子基金管理人</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1.在中华人民共和国境内依法设立，且已在相关监管部门或</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行业自律组织登记备案，实收资本不低于1000万元，最近3年不存在重大违法违规行为；</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2.有固定营业场所及与其业务相适应的软硬件设施，应向符合私募投资基金监督管理有关规定的合格投资者募集资金；</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3.具备丰富的投资管理经验和良好的管理业绩，健全的投资管理和风险控制流程，规范的项目遴选机制，能够为被投资企业提供创业辅导、管理咨询等增值服务；</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4.至少有</w:t>
      </w:r>
      <w:r>
        <w:rPr>
          <w:rFonts w:hint="eastAsia" w:ascii="仿宋_GB2312" w:hAnsi="仿宋_GB2312" w:eastAsia="仿宋_GB2312" w:cs="仿宋_GB2312"/>
          <w:color w:val="000000" w:themeColor="text1"/>
          <w:sz w:val="32"/>
          <w:szCs w:val="32"/>
          <w:highlight w:val="none"/>
          <w:u w:val="none" w:color="auto"/>
          <w:lang w:eastAsia="zh-CN"/>
          <w14:textFill>
            <w14:solidFill>
              <w14:schemeClr w14:val="tx1"/>
            </w14:solidFill>
          </w14:textFill>
        </w:rPr>
        <w:t>3</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名具备</w:t>
      </w:r>
      <w:r>
        <w:rPr>
          <w:rFonts w:hint="eastAsia" w:ascii="仿宋_GB2312" w:hAnsi="仿宋_GB2312" w:eastAsia="仿宋_GB2312" w:cs="仿宋_GB2312"/>
          <w:color w:val="000000" w:themeColor="text1"/>
          <w:sz w:val="32"/>
          <w:szCs w:val="32"/>
          <w:highlight w:val="none"/>
          <w:u w:val="none" w:color="auto"/>
          <w:lang w:eastAsia="zh-CN"/>
          <w14:textFill>
            <w14:solidFill>
              <w14:schemeClr w14:val="tx1"/>
            </w14:solidFill>
          </w14:textFill>
        </w:rPr>
        <w:t>3</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年以上股权投资或股权投资基金管理工</w:t>
      </w:r>
      <w:r>
        <w:rPr>
          <w:rFonts w:hint="eastAsia" w:ascii="仿宋_GB2312" w:hAnsi="仿宋_GB2312" w:eastAsia="仿宋_GB2312" w:cs="仿宋_GB2312"/>
          <w:color w:val="000000" w:themeColor="text1"/>
          <w:spacing w:val="-11"/>
          <w:sz w:val="32"/>
          <w:szCs w:val="32"/>
          <w:highlight w:val="none"/>
          <w:u w:val="none" w:color="auto"/>
          <w14:textFill>
            <w14:solidFill>
              <w14:schemeClr w14:val="tx1"/>
            </w14:solidFill>
          </w14:textFill>
        </w:rPr>
        <w:t>作经验的高级管理人员，且有3个（含）以上股权投资的成功案例；</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5.专业机构在提交政策性项目合作方案时，须至少已取得拟设立子基金总规模30%额度的出资意向，并提供拟出资人出资承诺函等材料。</w:t>
      </w:r>
    </w:p>
    <w:p>
      <w:pPr>
        <w:ind w:firstLine="645"/>
        <w:jc w:val="left"/>
        <w:rPr>
          <w:rFonts w:eastAsia="仿宋_GB2312"/>
          <w:b/>
          <w:bCs/>
          <w:color w:val="000000" w:themeColor="text1"/>
          <w:sz w:val="32"/>
          <w:szCs w:val="32"/>
          <w:highlight w:val="none"/>
          <w:u w:val="none" w:color="auto"/>
          <w14:textFill>
            <w14:solidFill>
              <w14:schemeClr w14:val="tx1"/>
            </w14:solidFill>
          </w14:textFill>
        </w:rPr>
      </w:pPr>
      <w:r>
        <w:rPr>
          <w:rFonts w:eastAsia="仿宋_GB2312"/>
          <w:b/>
          <w:bCs/>
          <w:color w:val="000000" w:themeColor="text1"/>
          <w:sz w:val="32"/>
          <w:szCs w:val="32"/>
          <w:highlight w:val="none"/>
          <w:u w:val="none" w:color="auto"/>
          <w14:textFill>
            <w14:solidFill>
              <w14:schemeClr w14:val="tx1"/>
            </w14:solidFill>
          </w14:textFill>
        </w:rPr>
        <w:t>（三）托管银行</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1.经国家有关部门核准认定具有基金托管资格的；</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2.属于在广东省境内注册地具有分支机构的商业银行；</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3.最近三年以上保持良好的财务状况，没有受过行政主管机关或司法机关重大处罚的不良记录；</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4.优先考虑与政府部门开展业务合作情况良好的。</w:t>
      </w:r>
    </w:p>
    <w:p>
      <w:pPr>
        <w:ind w:firstLine="640" w:firstLineChars="200"/>
        <w:jc w:val="left"/>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二、有关要求</w:t>
      </w:r>
    </w:p>
    <w:p>
      <w:pPr>
        <w:ind w:firstLine="645"/>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政府投资基金应与受托管理机构、托管银行、社会出资人应事前签订有关合约，规范各方权利义务要求，并明确以下内容：</w:t>
      </w:r>
    </w:p>
    <w:p>
      <w:pPr>
        <w:ind w:firstLine="645"/>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一）因受托管理机构原因导致基金组建进度缓慢、资金募集和项目投资状况不理想、未达到计划预期的，业务主管部门及财政部门应根据绩效评价意见督促受托管理机构限期整改，经多次督促仍未整改到位的，财政部门可采取延迟支付管理费用、降低管理费率、取消业绩奖励、中止受托管理业务等措施。发现受托管理机构存在违法违规行为的，取消其受托管理资格，三年内不得承接政府投资基金受托管理业务；</w:t>
      </w:r>
    </w:p>
    <w:p>
      <w:pPr>
        <w:ind w:firstLine="645"/>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（二）托管银行未及时拨付资金、未按托管协议履行好相关职责的，各方投资人有权降低或取消托管费，托管过程中发现违法违规行为的，取消该项投资基金托管资格；</w:t>
      </w:r>
    </w:p>
    <w:p>
      <w:pPr>
        <w:ind w:firstLine="645"/>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三）社会出资人未按政府投资基金章程约定出资或出资缓慢的，可按程序报批后调整社会出资主体、核减基金总体规模及财政出资额度，或未达要求前暂不追加财政出资；情况严重的，政府出资部分可选择提前退出。</w:t>
      </w:r>
    </w:p>
    <w:p>
      <w:pPr>
        <w:ind w:firstLine="645"/>
        <w:jc w:val="left"/>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四）基金管理公司及其高级管理人员未按基金支持方向进行投资、未定期报告投资情况、不配合监督检查，或有其他违法违规行为的，参照《私募投资基金监督管理条例》有关规定办理，并将有关情况通报省公共信用信息平台。</w:t>
      </w:r>
    </w:p>
    <w:p>
      <w:pPr>
        <w:widowControl/>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br w:type="page"/>
      </w:r>
    </w:p>
    <w:p>
      <w:pPr>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附件2</w:t>
      </w:r>
    </w:p>
    <w:p>
      <w:pPr>
        <w:contextualSpacing/>
        <w:jc w:val="center"/>
        <w:rPr>
          <w:rFonts w:eastAsia="方正小标宋简体"/>
          <w:color w:val="000000" w:themeColor="text1"/>
          <w:sz w:val="44"/>
          <w:szCs w:val="44"/>
          <w:highlight w:val="none"/>
          <w:u w:val="none" w:color="auto"/>
          <w14:textFill>
            <w14:solidFill>
              <w14:schemeClr w14:val="tx1"/>
            </w14:solidFill>
          </w14:textFill>
        </w:rPr>
      </w:pPr>
      <w:r>
        <w:rPr>
          <w:rFonts w:eastAsia="方正小标宋简体"/>
          <w:color w:val="000000" w:themeColor="text1"/>
          <w:sz w:val="44"/>
          <w:szCs w:val="44"/>
          <w:highlight w:val="none"/>
          <w:u w:val="none" w:color="auto"/>
          <w14:textFill>
            <w14:solidFill>
              <w14:schemeClr w14:val="tx1"/>
            </w14:solidFill>
          </w14:textFill>
        </w:rPr>
        <w:t>基金管理费用计提规则及有关标准</w:t>
      </w:r>
    </w:p>
    <w:p>
      <w:pPr>
        <w:ind w:firstLine="645"/>
        <w:contextualSpacing/>
        <w:rPr>
          <w:rFonts w:eastAsia="黑体"/>
          <w:color w:val="000000" w:themeColor="text1"/>
          <w:sz w:val="32"/>
          <w:szCs w:val="32"/>
          <w:highlight w:val="none"/>
          <w:u w:val="none" w:color="auto"/>
          <w14:textFill>
            <w14:solidFill>
              <w14:schemeClr w14:val="tx1"/>
            </w14:solidFill>
          </w14:textFill>
        </w:rPr>
      </w:pPr>
    </w:p>
    <w:p>
      <w:pPr>
        <w:ind w:firstLine="645"/>
        <w:contextualSpacing/>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一、基金受托管理机构作为出资代表代持政府出资股份，但不作为基金管理人，可提取委托管理费，具体如下：</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（一）提取标准。</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委托管理费计提基数为财政实缴出资额，1亿元及以下按0.5%、1-5亿元（含5亿元）按0.25%、5亿元以上按0.1%反向递减比例按年度支付。</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（二）提取年限。</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委托管理费由受托管理机构按年度提取，计提年限为三年。</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（三）费用来源。</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费用来源从基金收益或利息中支付。</w:t>
      </w:r>
    </w:p>
    <w:p>
      <w:pPr>
        <w:ind w:firstLine="645"/>
        <w:contextualSpacing/>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二、财政出资成立的需要受托管理机构募集放大的基金，如基金受托管理机构同时作为母基金管理人及出资代表，可在限额内对母基金财政出资部分提取母基金管理费,不再提取委托管理费，具体如下：</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（一）提取标准。</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母基金财政出资部分的管理费最高提取限额计算公式为：</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年度财政出资管理费提取限额=已投放到子基金的财政出资资金额度*[0.5+母基金层面已实缴社会资金额度/（母基金层面已实缴社会资金额度+财政</w:t>
      </w:r>
      <w:r>
        <w:rPr>
          <w:rFonts w:hint="eastAsia" w:ascii="仿宋_GB2312" w:hAnsi="仿宋_GB2312" w:eastAsia="仿宋_GB2312" w:cs="仿宋_GB2312"/>
          <w:color w:val="000000" w:themeColor="text1"/>
          <w:sz w:val="32"/>
          <w:szCs w:val="32"/>
          <w:highlight w:val="none"/>
          <w:u w:val="none" w:color="auto"/>
          <w:lang w:eastAsia="zh-CN"/>
          <w14:textFill>
            <w14:solidFill>
              <w14:schemeClr w14:val="tx1"/>
            </w14:solidFill>
          </w14:textFill>
        </w:rPr>
        <w:t>实缴资金额度</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 母基金层面财政出资已投放到具体项目的资金额度*[1+母基金层面已实缴社会资金额度/（母基金层面已实缴社会资金额度+财政</w:t>
      </w:r>
      <w:r>
        <w:rPr>
          <w:rFonts w:hint="eastAsia" w:ascii="仿宋_GB2312" w:hAnsi="仿宋_GB2312" w:eastAsia="仿宋_GB2312" w:cs="仿宋_GB2312"/>
          <w:color w:val="000000" w:themeColor="text1"/>
          <w:sz w:val="32"/>
          <w:szCs w:val="32"/>
          <w:highlight w:val="none"/>
          <w:u w:val="none" w:color="auto"/>
          <w:lang w:eastAsia="zh-CN"/>
          <w14:textFill>
            <w14:solidFill>
              <w14:schemeClr w14:val="tx1"/>
            </w14:solidFill>
          </w14:textFill>
        </w:rPr>
        <w:t>实缴资金额度</w:t>
      </w: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执行上述限额标准时，还需同时遵守以下条件：</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1.投资结束后回收的资金相应从已投放到子基金或具体项目的资金额度中扣减。</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2.子基金管理费按照子基金合伙协议提取，如受托管理机构（含其子公司）同时作为母、子基金管理人，则受托管理机构享受的母子基金管理费提取比例合计不超过投放至子基金的财政出资资金额度的1.5%。</w:t>
      </w:r>
    </w:p>
    <w:p>
      <w:pPr>
        <w:ind w:firstLine="645"/>
        <w:contextualSpacing/>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color="auto"/>
          <w14:textFill>
            <w14:solidFill>
              <w14:schemeClr w14:val="tx1"/>
            </w14:solidFill>
          </w14:textFill>
        </w:rPr>
        <w:t>3.社会出资方的母基金管理费由母基金管理人按照市场规则收取。</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（二）提取年限。</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母基金管理费由受托管理机构按规定分年度提取，计提年限为基金存续年限。</w:t>
      </w:r>
    </w:p>
    <w:p>
      <w:pPr>
        <w:ind w:firstLine="645"/>
        <w:contextualSpacing/>
        <w:rPr>
          <w:rFonts w:eastAsia="楷体_GB2312"/>
          <w:b/>
          <w:color w:val="000000" w:themeColor="text1"/>
          <w:sz w:val="32"/>
          <w:szCs w:val="32"/>
          <w:highlight w:val="none"/>
          <w:u w:val="none" w:color="auto"/>
          <w14:textFill>
            <w14:solidFill>
              <w14:schemeClr w14:val="tx1"/>
            </w14:solidFill>
          </w14:textFill>
        </w:rPr>
      </w:pPr>
      <w:r>
        <w:rPr>
          <w:rFonts w:eastAsia="楷体_GB2312"/>
          <w:b/>
          <w:color w:val="000000" w:themeColor="text1"/>
          <w:sz w:val="32"/>
          <w:szCs w:val="32"/>
          <w:highlight w:val="none"/>
          <w:u w:val="none" w:color="auto"/>
          <w14:textFill>
            <w14:solidFill>
              <w14:schemeClr w14:val="tx1"/>
            </w14:solidFill>
          </w14:textFill>
        </w:rPr>
        <w:t>（三）费用来源。</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费用来源从基金收益或利息中支付，原则上不允许在本金中列支。</w:t>
      </w:r>
    </w:p>
    <w:p>
      <w:pPr>
        <w:ind w:firstLine="645"/>
        <w:contextualSpacing/>
        <w:rPr>
          <w:rFonts w:eastAsia="黑体"/>
          <w:color w:val="000000" w:themeColor="text1"/>
          <w:sz w:val="32"/>
          <w:szCs w:val="32"/>
          <w:highlight w:val="none"/>
          <w:u w:val="none" w:color="auto"/>
          <w14:textFill>
            <w14:solidFill>
              <w14:schemeClr w14:val="tx1"/>
            </w14:solidFill>
          </w14:textFill>
        </w:rPr>
      </w:pPr>
      <w:r>
        <w:rPr>
          <w:rFonts w:eastAsia="黑体"/>
          <w:color w:val="000000" w:themeColor="text1"/>
          <w:sz w:val="32"/>
          <w:szCs w:val="32"/>
          <w:highlight w:val="none"/>
          <w:u w:val="none" w:color="auto"/>
          <w14:textFill>
            <w14:solidFill>
              <w14:schemeClr w14:val="tx1"/>
            </w14:solidFill>
          </w14:textFill>
        </w:rPr>
        <w:t>三、其他事项</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财政出资资金参股国家基金的，缴付国家基金管理人的基金管理费按照国家基金有关规定或协议提取。如基金受托管理机构作为出资代表代持本级财政股份，又同时作为国家基金管理人并已分享国家基金管理费，本级层面不再提取母基金管理费及委托管理费。</w:t>
      </w:r>
    </w:p>
    <w:p>
      <w:pPr>
        <w:ind w:firstLine="645"/>
        <w:contextualSpacing/>
        <w:rPr>
          <w:rFonts w:eastAsia="仿宋_GB2312"/>
          <w:color w:val="000000" w:themeColor="text1"/>
          <w:sz w:val="32"/>
          <w:szCs w:val="32"/>
          <w:highlight w:val="none"/>
          <w:u w:val="none" w:color="auto"/>
          <w14:textFill>
            <w14:solidFill>
              <w14:schemeClr w14:val="tx1"/>
            </w14:solidFill>
          </w14:textFill>
        </w:rPr>
      </w:pPr>
      <w:r>
        <w:rPr>
          <w:rFonts w:eastAsia="仿宋_GB2312"/>
          <w:color w:val="000000" w:themeColor="text1"/>
          <w:sz w:val="32"/>
          <w:szCs w:val="32"/>
          <w:highlight w:val="none"/>
          <w:u w:val="none" w:color="auto"/>
          <w14:textFill>
            <w14:solidFill>
              <w14:schemeClr w14:val="tx1"/>
            </w14:solidFill>
          </w14:textFill>
        </w:rPr>
        <w:t>对本办法印发前已签订协议并在协议中明确管理费标准的，按原确定标准实施；已签订协议但未明确管理费标准的，按照本办法标准实施，对未明确管理费标准而自行提取基金管理费的，如财政出资部分计提管理费用提取额度超出前述限额标准的，应当调整比例，已超额提取的部分在后续年度中予以抵扣。</w:t>
      </w:r>
    </w:p>
    <w:p>
      <w:pPr>
        <w:numPr>
          <w:ilvl w:val="255"/>
          <w:numId w:val="0"/>
        </w:numPr>
        <w:rPr>
          <w:rFonts w:eastAsia="黑体"/>
          <w:color w:val="000000" w:themeColor="text1"/>
          <w:sz w:val="32"/>
          <w:szCs w:val="32"/>
          <w:highlight w:val="none"/>
          <w:u w:val="none" w:color="auto"/>
          <w14:textFill>
            <w14:solidFill>
              <w14:schemeClr w14:val="tx1"/>
            </w14:solidFill>
          </w14:textFill>
        </w:rPr>
      </w:pPr>
    </w:p>
    <w:sectPr>
      <w:footerReference r:id="rId3" w:type="default"/>
      <w:footerReference r:id="rId4" w:type="even"/>
      <w:pgSz w:w="11906" w:h="16838"/>
      <w:pgMar w:top="2041" w:right="1418" w:bottom="1418" w:left="1531" w:header="851" w:footer="992" w:gutter="0"/>
      <w:cols w:space="720" w:num="1"/>
      <w:docGrid w:type="linesAndChars" w:linePitch="308" w:charSpace="11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rFonts w:ascii="仿宋_GB2312" w:eastAsia="仿宋_GB2312"/>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rPr>
      <w:fldChar w:fldCharType="begin"/>
    </w:r>
    <w:r>
      <w:rPr>
        <w:rFonts w:hint="eastAsia" w:ascii="仿宋_GB2312" w:eastAsia="仿宋_GB2312"/>
        <w:sz w:val="28"/>
        <w:szCs w:val="28"/>
      </w:rPr>
      <w:instrText xml:space="preserve"> PAGE   \* MERGEFORMAT </w:instrText>
    </w:r>
    <w:r>
      <w:rPr>
        <w:rFonts w:hint="eastAsia" w:ascii="仿宋_GB2312" w:eastAsia="仿宋_GB2312"/>
        <w:sz w:val="28"/>
        <w:szCs w:val="28"/>
      </w:rPr>
      <w:fldChar w:fldCharType="separate"/>
    </w:r>
    <w:r>
      <w:rPr>
        <w:rFonts w:ascii="仿宋_GB2312" w:eastAsia="仿宋_GB2312"/>
        <w:sz w:val="28"/>
        <w:szCs w:val="28"/>
        <w:lang w:val="zh-CN"/>
      </w:rPr>
      <w:t>2</w:t>
    </w:r>
    <w:r>
      <w:rPr>
        <w:rFonts w:hint="eastAsia" w:ascii="仿宋_GB2312" w:eastAsia="仿宋_GB2312"/>
        <w:sz w:val="28"/>
        <w:szCs w:val="28"/>
      </w:rPr>
      <w:fldChar w:fldCharType="end"/>
    </w:r>
    <w:r>
      <w:rPr>
        <w:rFonts w:hint="eastAsia" w:ascii="仿宋_GB2312" w:eastAsia="仿宋_GB2312"/>
        <w:sz w:val="28"/>
        <w:szCs w:val="28"/>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98BB1F"/>
    <w:multiLevelType w:val="singleLevel"/>
    <w:tmpl w:val="3B98BB1F"/>
    <w:lvl w:ilvl="0" w:tentative="0">
      <w:start w:val="1"/>
      <w:numFmt w:val="chineseCounting"/>
      <w:suff w:val="nothing"/>
      <w:lvlText w:val="（%1）"/>
      <w:lvlJc w:val="left"/>
      <w:rPr>
        <w:rFonts w:hint="eastAsia"/>
      </w:rPr>
    </w:lvl>
  </w:abstractNum>
  <w:abstractNum w:abstractNumId="1">
    <w:nsid w:val="55C40E01"/>
    <w:multiLevelType w:val="singleLevel"/>
    <w:tmpl w:val="55C40E01"/>
    <w:lvl w:ilvl="0" w:tentative="0">
      <w:start w:val="3"/>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trackRevisions w:val="1"/>
  <w:documentProtection w:edit="readOnly"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371A6"/>
    <w:rsid w:val="000C2531"/>
    <w:rsid w:val="001547AD"/>
    <w:rsid w:val="00172A27"/>
    <w:rsid w:val="00174956"/>
    <w:rsid w:val="00176C91"/>
    <w:rsid w:val="001A73D3"/>
    <w:rsid w:val="00234D9C"/>
    <w:rsid w:val="00297C5C"/>
    <w:rsid w:val="002D3ABA"/>
    <w:rsid w:val="002F3A0E"/>
    <w:rsid w:val="003640BD"/>
    <w:rsid w:val="003657FC"/>
    <w:rsid w:val="00383E45"/>
    <w:rsid w:val="003A38F2"/>
    <w:rsid w:val="00466B9C"/>
    <w:rsid w:val="00475E70"/>
    <w:rsid w:val="00495ACD"/>
    <w:rsid w:val="004C178B"/>
    <w:rsid w:val="00537F99"/>
    <w:rsid w:val="00560E70"/>
    <w:rsid w:val="005A2EF7"/>
    <w:rsid w:val="005A68A3"/>
    <w:rsid w:val="005B7A4D"/>
    <w:rsid w:val="005F1D45"/>
    <w:rsid w:val="00621027"/>
    <w:rsid w:val="00641030"/>
    <w:rsid w:val="00641BA5"/>
    <w:rsid w:val="00652672"/>
    <w:rsid w:val="006D665B"/>
    <w:rsid w:val="007231B0"/>
    <w:rsid w:val="00731A93"/>
    <w:rsid w:val="00792117"/>
    <w:rsid w:val="007C491C"/>
    <w:rsid w:val="00851834"/>
    <w:rsid w:val="00877B41"/>
    <w:rsid w:val="008C7F9D"/>
    <w:rsid w:val="009C35CA"/>
    <w:rsid w:val="009C6F86"/>
    <w:rsid w:val="009D4302"/>
    <w:rsid w:val="00A07E0C"/>
    <w:rsid w:val="00A42EF6"/>
    <w:rsid w:val="00BB2C4E"/>
    <w:rsid w:val="00BD295C"/>
    <w:rsid w:val="00C371B5"/>
    <w:rsid w:val="00CE2E63"/>
    <w:rsid w:val="00CF609E"/>
    <w:rsid w:val="00D34D37"/>
    <w:rsid w:val="00D4225C"/>
    <w:rsid w:val="00D614D7"/>
    <w:rsid w:val="00DD51DB"/>
    <w:rsid w:val="00DE5E4A"/>
    <w:rsid w:val="00E14CEB"/>
    <w:rsid w:val="00E60FCA"/>
    <w:rsid w:val="00E7075A"/>
    <w:rsid w:val="00E97D6D"/>
    <w:rsid w:val="00EA609D"/>
    <w:rsid w:val="00F81AE6"/>
    <w:rsid w:val="00FB1CD7"/>
    <w:rsid w:val="00FD423C"/>
    <w:rsid w:val="031F5C9D"/>
    <w:rsid w:val="03AD2283"/>
    <w:rsid w:val="047731A5"/>
    <w:rsid w:val="04CA4768"/>
    <w:rsid w:val="04FD5ECD"/>
    <w:rsid w:val="056117E3"/>
    <w:rsid w:val="079C588B"/>
    <w:rsid w:val="079C5DDB"/>
    <w:rsid w:val="08532138"/>
    <w:rsid w:val="08E54928"/>
    <w:rsid w:val="08FB6ACC"/>
    <w:rsid w:val="09D5680D"/>
    <w:rsid w:val="0A295EB9"/>
    <w:rsid w:val="0B4B1E7F"/>
    <w:rsid w:val="0C605AD8"/>
    <w:rsid w:val="0D602748"/>
    <w:rsid w:val="0F4B0810"/>
    <w:rsid w:val="10DD590B"/>
    <w:rsid w:val="116F3C27"/>
    <w:rsid w:val="13AA77E8"/>
    <w:rsid w:val="13B2440D"/>
    <w:rsid w:val="13C92631"/>
    <w:rsid w:val="14405FB0"/>
    <w:rsid w:val="147B03A7"/>
    <w:rsid w:val="15472079"/>
    <w:rsid w:val="15A543F6"/>
    <w:rsid w:val="15FC062E"/>
    <w:rsid w:val="160C7800"/>
    <w:rsid w:val="16263C66"/>
    <w:rsid w:val="162723E1"/>
    <w:rsid w:val="16481D0C"/>
    <w:rsid w:val="185C186D"/>
    <w:rsid w:val="1B602BF9"/>
    <w:rsid w:val="1C176702"/>
    <w:rsid w:val="1E672DC4"/>
    <w:rsid w:val="1EAC2360"/>
    <w:rsid w:val="205A413F"/>
    <w:rsid w:val="20616538"/>
    <w:rsid w:val="22EE67C3"/>
    <w:rsid w:val="25BE0B79"/>
    <w:rsid w:val="25CC7E8F"/>
    <w:rsid w:val="265B2250"/>
    <w:rsid w:val="26AC0C85"/>
    <w:rsid w:val="271959FC"/>
    <w:rsid w:val="27C747D2"/>
    <w:rsid w:val="27FC2C9F"/>
    <w:rsid w:val="282C0AA9"/>
    <w:rsid w:val="28696559"/>
    <w:rsid w:val="29B97823"/>
    <w:rsid w:val="29DB09B9"/>
    <w:rsid w:val="2A932366"/>
    <w:rsid w:val="2B582F13"/>
    <w:rsid w:val="2BA24E4D"/>
    <w:rsid w:val="2BBC4B64"/>
    <w:rsid w:val="2C6A44EB"/>
    <w:rsid w:val="2CE752A7"/>
    <w:rsid w:val="2D2A0FCB"/>
    <w:rsid w:val="2D634703"/>
    <w:rsid w:val="2E396CE5"/>
    <w:rsid w:val="2F4A2072"/>
    <w:rsid w:val="307D149D"/>
    <w:rsid w:val="32930B88"/>
    <w:rsid w:val="33537941"/>
    <w:rsid w:val="347F162D"/>
    <w:rsid w:val="351705A2"/>
    <w:rsid w:val="3543266F"/>
    <w:rsid w:val="362B4B6B"/>
    <w:rsid w:val="36FE0747"/>
    <w:rsid w:val="37F479DA"/>
    <w:rsid w:val="37FDBCF5"/>
    <w:rsid w:val="392E425F"/>
    <w:rsid w:val="39457F6E"/>
    <w:rsid w:val="3BA61B5F"/>
    <w:rsid w:val="3BC24994"/>
    <w:rsid w:val="3BEE0522"/>
    <w:rsid w:val="3C9B492B"/>
    <w:rsid w:val="3CE2618A"/>
    <w:rsid w:val="3D176D48"/>
    <w:rsid w:val="3E385855"/>
    <w:rsid w:val="3F0E04DE"/>
    <w:rsid w:val="3FDFAA47"/>
    <w:rsid w:val="3FFFFE2D"/>
    <w:rsid w:val="402417C0"/>
    <w:rsid w:val="40D21C97"/>
    <w:rsid w:val="419F0436"/>
    <w:rsid w:val="41BF1749"/>
    <w:rsid w:val="425E45EF"/>
    <w:rsid w:val="42AE6842"/>
    <w:rsid w:val="42BC318C"/>
    <w:rsid w:val="46002584"/>
    <w:rsid w:val="46077070"/>
    <w:rsid w:val="46A1726F"/>
    <w:rsid w:val="46A40139"/>
    <w:rsid w:val="47EE1CE9"/>
    <w:rsid w:val="488A12DA"/>
    <w:rsid w:val="48DA732F"/>
    <w:rsid w:val="48F65391"/>
    <w:rsid w:val="496F6156"/>
    <w:rsid w:val="49DB66FE"/>
    <w:rsid w:val="4A233794"/>
    <w:rsid w:val="4A2F2139"/>
    <w:rsid w:val="4AAB4F26"/>
    <w:rsid w:val="4AB873A4"/>
    <w:rsid w:val="4B844767"/>
    <w:rsid w:val="4DA61841"/>
    <w:rsid w:val="4DE74FDD"/>
    <w:rsid w:val="4E637A00"/>
    <w:rsid w:val="4E6C3727"/>
    <w:rsid w:val="4ED10F45"/>
    <w:rsid w:val="4F70411F"/>
    <w:rsid w:val="4F852B86"/>
    <w:rsid w:val="4F93631E"/>
    <w:rsid w:val="501112F3"/>
    <w:rsid w:val="51480E67"/>
    <w:rsid w:val="51797438"/>
    <w:rsid w:val="520E5D83"/>
    <w:rsid w:val="52AC6580"/>
    <w:rsid w:val="52C07C9E"/>
    <w:rsid w:val="52C825DD"/>
    <w:rsid w:val="540B0B41"/>
    <w:rsid w:val="5748422D"/>
    <w:rsid w:val="597554DF"/>
    <w:rsid w:val="5A932270"/>
    <w:rsid w:val="5B6F0312"/>
    <w:rsid w:val="5BD57CB7"/>
    <w:rsid w:val="5BDFC4C3"/>
    <w:rsid w:val="5D2B606A"/>
    <w:rsid w:val="5DD416D7"/>
    <w:rsid w:val="5F43706F"/>
    <w:rsid w:val="5FBD7995"/>
    <w:rsid w:val="60483735"/>
    <w:rsid w:val="64654FB0"/>
    <w:rsid w:val="64C51278"/>
    <w:rsid w:val="65640EC5"/>
    <w:rsid w:val="661D5DA5"/>
    <w:rsid w:val="66605EEC"/>
    <w:rsid w:val="66DE60D0"/>
    <w:rsid w:val="66F205F4"/>
    <w:rsid w:val="678802FD"/>
    <w:rsid w:val="689E34CB"/>
    <w:rsid w:val="6985204A"/>
    <w:rsid w:val="69B41D9F"/>
    <w:rsid w:val="69BD2A24"/>
    <w:rsid w:val="6A322563"/>
    <w:rsid w:val="6B72674F"/>
    <w:rsid w:val="6BEA109C"/>
    <w:rsid w:val="6CBF402A"/>
    <w:rsid w:val="6D36583B"/>
    <w:rsid w:val="6D4E05EF"/>
    <w:rsid w:val="6DD34B5E"/>
    <w:rsid w:val="6E821AF6"/>
    <w:rsid w:val="6ED90F53"/>
    <w:rsid w:val="6EFA6420"/>
    <w:rsid w:val="6F7B4EC0"/>
    <w:rsid w:val="6FB5D5D0"/>
    <w:rsid w:val="6FEF5F92"/>
    <w:rsid w:val="70142E2C"/>
    <w:rsid w:val="70B12DBD"/>
    <w:rsid w:val="70EC49AE"/>
    <w:rsid w:val="70F9465B"/>
    <w:rsid w:val="71BA78C1"/>
    <w:rsid w:val="720F7FD6"/>
    <w:rsid w:val="729F57FE"/>
    <w:rsid w:val="72DA3E7D"/>
    <w:rsid w:val="72F8122F"/>
    <w:rsid w:val="73FF7E42"/>
    <w:rsid w:val="741044F5"/>
    <w:rsid w:val="7476465C"/>
    <w:rsid w:val="74BB56ED"/>
    <w:rsid w:val="74C64EBA"/>
    <w:rsid w:val="74D528B6"/>
    <w:rsid w:val="756D70A9"/>
    <w:rsid w:val="76874903"/>
    <w:rsid w:val="777F79AC"/>
    <w:rsid w:val="78002CF1"/>
    <w:rsid w:val="781E371F"/>
    <w:rsid w:val="78317F24"/>
    <w:rsid w:val="78FB5D03"/>
    <w:rsid w:val="79AC045C"/>
    <w:rsid w:val="79F1491F"/>
    <w:rsid w:val="7AA75F20"/>
    <w:rsid w:val="7ADE5915"/>
    <w:rsid w:val="7B3E6B40"/>
    <w:rsid w:val="7BCF6905"/>
    <w:rsid w:val="7BE04566"/>
    <w:rsid w:val="7CD5595C"/>
    <w:rsid w:val="7DD572FA"/>
    <w:rsid w:val="7DF26E3A"/>
    <w:rsid w:val="7E2120FB"/>
    <w:rsid w:val="7ED07310"/>
    <w:rsid w:val="7EE47BD2"/>
    <w:rsid w:val="7EEE353D"/>
    <w:rsid w:val="7FD5AD46"/>
    <w:rsid w:val="8EFE906D"/>
    <w:rsid w:val="CEEDDECE"/>
    <w:rsid w:val="DAECD227"/>
    <w:rsid w:val="DB8EC8AD"/>
    <w:rsid w:val="F4FC50E2"/>
    <w:rsid w:val="FBBB0176"/>
    <w:rsid w:val="FDEB34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footnote text"/>
    <w:basedOn w:val="1"/>
    <w:unhideWhenUsed/>
    <w:qFormat/>
    <w:uiPriority w:val="0"/>
    <w:pPr>
      <w:snapToGrid w:val="0"/>
      <w:jc w:val="left"/>
    </w:pPr>
    <w:rPr>
      <w:sz w:val="18"/>
    </w:rPr>
  </w:style>
  <w:style w:type="character" w:styleId="8">
    <w:name w:val="annotation reference"/>
    <w:basedOn w:val="7"/>
    <w:qFormat/>
    <w:uiPriority w:val="0"/>
    <w:rPr>
      <w:sz w:val="21"/>
      <w:szCs w:val="21"/>
    </w:rPr>
  </w:style>
  <w:style w:type="character" w:styleId="9">
    <w:name w:val="footnote reference"/>
    <w:basedOn w:val="7"/>
    <w:unhideWhenUsed/>
    <w:qFormat/>
    <w:uiPriority w:val="0"/>
    <w:rPr>
      <w:rFonts w:hint="default"/>
      <w:sz w:val="24"/>
      <w:szCs w:val="24"/>
      <w:vertAlign w:val="superscript"/>
    </w:rPr>
  </w:style>
  <w:style w:type="paragraph" w:customStyle="1" w:styleId="10">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1">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1464</Words>
  <Characters>8346</Characters>
  <Lines>69</Lines>
  <Paragraphs>19</Paragraphs>
  <TotalTime>6</TotalTime>
  <ScaleCrop>false</ScaleCrop>
  <LinksUpToDate>false</LinksUpToDate>
  <CharactersWithSpaces>9791</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2023-09-16T00:48:00Z</dcterms:created>
  <dc:creator>李哿</dc:creator>
  <cp:lastModifiedBy>李哿</cp:lastModifiedBy>
  <cp:lastPrinted>2025-03-11T14:47:00Z</cp:lastPrinted>
  <dcterms:modified xsi:type="dcterms:W3CDTF">2025-03-15T00:56:28Z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C6A4AC676A677B26C4F5D2673FBA1753</vt:lpwstr>
  </property>
</Properties>
</file>