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2CAA9B">
      <w:pPr>
        <w:spacing w:line="360" w:lineRule="auto"/>
        <w:contextualSpacing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《广东省政府投资基金管理办法》</w:t>
      </w:r>
    </w:p>
    <w:p w14:paraId="201089C1">
      <w:pPr>
        <w:spacing w:line="360" w:lineRule="auto"/>
        <w:contextualSpacing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起草说明</w:t>
      </w:r>
    </w:p>
    <w:p w14:paraId="30CEDDCB">
      <w:pPr>
        <w:pStyle w:val="2"/>
        <w:rPr>
          <w:rFonts w:hint="eastAsia"/>
          <w:lang w:eastAsia="zh-CN"/>
        </w:rPr>
      </w:pPr>
    </w:p>
    <w:p w14:paraId="7C7C6FBF">
      <w:pPr>
        <w:spacing w:line="360" w:lineRule="auto"/>
        <w:ind w:firstLine="640" w:firstLineChars="200"/>
        <w:contextualSpacing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为</w:t>
      </w:r>
      <w:r>
        <w:rPr>
          <w:rFonts w:hint="default" w:ascii="仿宋_GB2312" w:eastAsia="仿宋_GB2312"/>
          <w:sz w:val="32"/>
          <w:szCs w:val="32"/>
        </w:rPr>
        <w:t>构建科学高效的政府投资基金管理体系，促进政府投资基金高质量发展，更好发挥政府投资基金作用，</w:t>
      </w:r>
      <w:r>
        <w:rPr>
          <w:rFonts w:hint="eastAsia" w:ascii="仿宋_GB2312" w:eastAsia="仿宋_GB2312"/>
          <w:sz w:val="32"/>
          <w:szCs w:val="32"/>
          <w:lang w:eastAsia="zh-CN"/>
        </w:rPr>
        <w:t>按照</w:t>
      </w:r>
      <w:r>
        <w:rPr>
          <w:rFonts w:hint="default" w:ascii="仿宋_GB2312" w:eastAsia="仿宋_GB2312"/>
          <w:sz w:val="32"/>
          <w:szCs w:val="32"/>
        </w:rPr>
        <w:t>《</w:t>
      </w:r>
      <w:r>
        <w:rPr>
          <w:rFonts w:hint="eastAsia" w:ascii="仿宋_GB2312" w:eastAsia="仿宋_GB2312"/>
          <w:sz w:val="32"/>
          <w:szCs w:val="32"/>
          <w:lang w:eastAsia="zh-CN"/>
        </w:rPr>
        <w:t>国务院办厅</w:t>
      </w:r>
      <w:r>
        <w:rPr>
          <w:rFonts w:hint="default" w:ascii="仿宋_GB2312" w:eastAsia="仿宋_GB2312"/>
          <w:sz w:val="32"/>
          <w:szCs w:val="32"/>
        </w:rPr>
        <w:t>关于促进政府投资基金高质量发展的指导意见》（国办发〔2025〕1号）</w:t>
      </w:r>
      <w:r>
        <w:rPr>
          <w:rFonts w:hint="eastAsia" w:ascii="仿宋_GB2312" w:eastAsia="仿宋_GB2312"/>
          <w:sz w:val="32"/>
          <w:szCs w:val="32"/>
          <w:lang w:eastAsia="zh-CN"/>
        </w:rPr>
        <w:t>有关要求，</w:t>
      </w:r>
      <w:r>
        <w:rPr>
          <w:rFonts w:hint="default" w:ascii="仿宋_GB2312" w:eastAsia="仿宋_GB2312"/>
          <w:sz w:val="32"/>
          <w:szCs w:val="32"/>
        </w:rPr>
        <w:t>广东省财政厅</w:t>
      </w:r>
      <w:r>
        <w:rPr>
          <w:rFonts w:hint="eastAsia" w:ascii="仿宋_GB2312" w:eastAsia="仿宋_GB2312"/>
          <w:sz w:val="32"/>
          <w:szCs w:val="32"/>
          <w:lang w:eastAsia="zh-CN"/>
        </w:rPr>
        <w:t>对《广东省政府投资基金管理实施办法（试行）》（粤财预〔2016〕178号）进行了修订，初步研究起草了《广东省政府投资基金管理办法（征求意见稿）》。现将有关情况说明如下：</w:t>
      </w:r>
    </w:p>
    <w:p w14:paraId="08AC9F20">
      <w:pPr>
        <w:spacing w:line="360" w:lineRule="auto"/>
        <w:ind w:firstLine="640" w:firstLineChars="200"/>
        <w:contextualSpacing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一、起草背景</w:t>
      </w:r>
    </w:p>
    <w:p w14:paraId="499B1468">
      <w:pPr>
        <w:spacing w:line="360" w:lineRule="auto"/>
        <w:ind w:firstLine="640" w:firstLineChars="200"/>
        <w:contextualSpacing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eastAsia="仿宋_GB2312" w:cs="Times New Roman"/>
          <w:b w:val="0"/>
          <w:bCs w:val="0"/>
          <w:sz w:val="32"/>
          <w:szCs w:val="32"/>
          <w:lang w:val="en-US" w:eastAsia="zh-CN"/>
        </w:rPr>
        <w:t>2016年，按照《</w:t>
      </w:r>
      <w:r>
        <w:rPr>
          <w:rFonts w:hint="eastAsia" w:ascii="仿宋_GB2312" w:eastAsia="仿宋_GB2312"/>
          <w:sz w:val="32"/>
          <w:szCs w:val="32"/>
        </w:rPr>
        <w:t>财政部关于印发</w:t>
      </w:r>
      <w:r>
        <w:rPr>
          <w:rFonts w:hint="eastAsia" w:ascii="仿宋_GB2312" w:eastAsia="仿宋_GB2312"/>
          <w:sz w:val="32"/>
          <w:szCs w:val="32"/>
          <w:lang w:eastAsia="zh-CN"/>
        </w:rPr>
        <w:t>〈</w:t>
      </w:r>
      <w:r>
        <w:rPr>
          <w:rFonts w:hint="eastAsia" w:ascii="仿宋_GB2312" w:eastAsia="仿宋_GB2312"/>
          <w:sz w:val="32"/>
          <w:szCs w:val="32"/>
        </w:rPr>
        <w:t>政府投资基金暂行管理</w:t>
      </w:r>
      <w:r>
        <w:rPr>
          <w:rFonts w:hint="eastAsia" w:ascii="仿宋_GB2312" w:eastAsia="仿宋_GB2312"/>
          <w:sz w:val="32"/>
          <w:szCs w:val="32"/>
          <w:highlight w:val="none"/>
        </w:rPr>
        <w:t>办法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〉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的通知</w:t>
      </w:r>
      <w:r>
        <w:rPr>
          <w:rFonts w:hint="eastAsia" w:ascii="仿宋_GB2312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》</w:t>
      </w:r>
      <w:r>
        <w:rPr>
          <w:rFonts w:hint="eastAsia" w:ascii="仿宋_GB2312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（财预〔2015〕210号）</w:t>
      </w:r>
      <w:r>
        <w:rPr>
          <w:rFonts w:hint="eastAsia" w:ascii="仿宋_GB2312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有关</w:t>
      </w:r>
      <w:r>
        <w:rPr>
          <w:rFonts w:hint="eastAsia" w:ascii="仿宋_GB2312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要求，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结合工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作实际，</w:t>
      </w:r>
      <w:r>
        <w:rPr>
          <w:rFonts w:hint="default" w:ascii="仿宋_GB2312" w:eastAsia="仿宋_GB2312"/>
          <w:sz w:val="32"/>
          <w:szCs w:val="32"/>
          <w:highlight w:val="none"/>
        </w:rPr>
        <w:t>广东省财政厅</w:t>
      </w:r>
      <w:r>
        <w:rPr>
          <w:rFonts w:hint="eastAsia" w:asci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制定</w:t>
      </w:r>
      <w:r>
        <w:rPr>
          <w:rFonts w:hint="eastAsia" w:asci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印发了</w:t>
      </w:r>
      <w:r>
        <w:rPr>
          <w:rFonts w:hint="eastAsia" w:asci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《广东省政府投资基金管理实施办法（试行）》（粤财预〔2016〕178号）。</w:t>
      </w:r>
      <w:r>
        <w:rPr>
          <w:rFonts w:hint="eastAsia" w:asci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2025</w:t>
      </w:r>
      <w:r>
        <w:rPr>
          <w:rFonts w:hint="eastAsia" w:asci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年1月，国务院办公厅印发《关于促进政府</w:t>
      </w:r>
      <w:r>
        <w:rPr>
          <w:rFonts w:hint="eastAsia" w:ascii="仿宋_GB2312" w:eastAsia="仿宋_GB2312" w:cs="Times New Roman"/>
          <w:b w:val="0"/>
          <w:bCs w:val="0"/>
          <w:sz w:val="32"/>
          <w:szCs w:val="32"/>
          <w:lang w:val="en-US" w:eastAsia="zh-CN"/>
        </w:rPr>
        <w:t>投资基金高质量发展的指导意见》（国办发〔2025〕1号），从找准基金定位、完善分级分类管理机制、加强统筹、提升专业化市场化运作水平、优化退出机制、强化内控建设、加强组织保障等方面提出了有关要求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为此，结合我省政府投资基金管理工作实际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</w:t>
      </w:r>
      <w:r>
        <w:rPr>
          <w:rFonts w:hint="eastAsia" w:eastAsia="仿宋_GB2312" w:cs="Times New Roman"/>
          <w:sz w:val="32"/>
          <w:szCs w:val="32"/>
          <w:lang w:eastAsia="zh-CN"/>
        </w:rPr>
        <w:t>经研究，</w:t>
      </w:r>
      <w:r>
        <w:rPr>
          <w:rFonts w:hint="default" w:ascii="仿宋_GB2312" w:eastAsia="仿宋_GB2312"/>
          <w:sz w:val="32"/>
          <w:szCs w:val="32"/>
          <w:highlight w:val="none"/>
        </w:rPr>
        <w:t>广东</w:t>
      </w:r>
      <w:r>
        <w:rPr>
          <w:rFonts w:hint="eastAsia" w:eastAsia="仿宋_GB2312" w:cs="Times New Roman"/>
          <w:sz w:val="32"/>
          <w:szCs w:val="32"/>
          <w:lang w:eastAsia="zh-CN"/>
        </w:rPr>
        <w:t>省财政厅初步</w:t>
      </w:r>
      <w:r>
        <w:rPr>
          <w:rFonts w:hint="eastAsia" w:ascii="仿宋_GB2312" w:eastAsia="仿宋_GB2312"/>
          <w:sz w:val="32"/>
          <w:szCs w:val="32"/>
          <w:lang w:eastAsia="zh-CN"/>
        </w:rPr>
        <w:t>研究起草了《广东省政府投资基金管理办法（征求意见稿）》</w:t>
      </w:r>
      <w:r>
        <w:rPr>
          <w:rFonts w:hint="eastAsia" w:ascii="仿宋_GB2312" w:eastAsia="仿宋_GB2312" w:cs="Times New Roman"/>
          <w:b w:val="0"/>
          <w:bCs w:val="0"/>
          <w:sz w:val="32"/>
          <w:szCs w:val="32"/>
          <w:lang w:val="en-US" w:eastAsia="zh-CN"/>
        </w:rPr>
        <w:t>。</w:t>
      </w:r>
    </w:p>
    <w:p w14:paraId="45FF3558">
      <w:pPr>
        <w:numPr>
          <w:ilvl w:val="0"/>
          <w:numId w:val="0"/>
        </w:numPr>
        <w:spacing w:line="360" w:lineRule="auto"/>
        <w:ind w:firstLine="640" w:firstLineChars="200"/>
        <w:contextualSpacing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二、主要内容</w:t>
      </w:r>
    </w:p>
    <w:p w14:paraId="792040E8">
      <w:pPr>
        <w:numPr>
          <w:ilvl w:val="-1"/>
          <w:numId w:val="0"/>
        </w:numPr>
        <w:spacing w:line="360" w:lineRule="auto"/>
        <w:ind w:firstLine="640" w:firstLineChars="200"/>
        <w:contextualSpacing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eastAsia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坚持充分发挥市场在资源配置中的决定性作用，更好发挥政府作用，推动有效市场和有为政府更好结合。</w:t>
      </w:r>
      <w:r>
        <w:rPr>
          <w:rFonts w:hint="eastAsia" w:eastAsia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突出政府引导和政策性定位，发展耐心资本，注重发挥实效</w:t>
      </w:r>
      <w:r>
        <w:rPr>
          <w:rFonts w:hint="eastAsia" w:eastAsia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。起草</w:t>
      </w:r>
      <w:r>
        <w:rPr>
          <w:rFonts w:hint="eastAsia" w:eastAsia="仿宋_GB2312"/>
          <w:b w:val="0"/>
          <w:bCs w:val="0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主要思路包括：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完善基金分级分类管理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机制，明确对基金设立的分级管理要求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完善不同类型基金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差异化管理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机制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；促进发展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耐心资本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，健全基金绩效管理，重点关注政策目标综合实现情况，遵循基金投资运作规律，建立以尽职合规责任豁免为核心的容错机制；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优化退出机制，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拓宽基金退出渠道，完善基金退出机制，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促进投资良性循环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 w14:paraId="2425936E">
      <w:pPr>
        <w:numPr>
          <w:ilvl w:val="-1"/>
          <w:numId w:val="0"/>
        </w:numPr>
        <w:spacing w:line="360" w:lineRule="auto"/>
        <w:ind w:firstLine="640" w:firstLineChars="200"/>
        <w:contextualSpacing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初步起草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广东省政府投资基金管理办法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包括六章四十条内容，以及2个附件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，主要内容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框架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如下：</w:t>
      </w:r>
    </w:p>
    <w:p w14:paraId="72D8746C">
      <w:pPr>
        <w:numPr>
          <w:ilvl w:val="0"/>
          <w:numId w:val="0"/>
        </w:numPr>
        <w:spacing w:line="360" w:lineRule="auto"/>
        <w:ind w:firstLine="642" w:firstLineChars="0"/>
        <w:contextualSpacing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第一章为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总则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明确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政策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依据、基金定义、预算管理、基金定位及总体要求等（第一条至第五条）。</w:t>
      </w:r>
    </w:p>
    <w:p w14:paraId="40A75909">
      <w:pPr>
        <w:numPr>
          <w:ilvl w:val="0"/>
          <w:numId w:val="0"/>
        </w:numPr>
        <w:spacing w:line="360" w:lineRule="auto"/>
        <w:ind w:firstLine="642" w:firstLineChars="0"/>
        <w:contextualSpacing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第二章为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基金设立和退出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。明确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基金设立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分级管理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和研究报批程序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基金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退出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方式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等（第六条至第十三条）。</w:t>
      </w:r>
    </w:p>
    <w:p w14:paraId="42F60A4E">
      <w:pPr>
        <w:numPr>
          <w:ilvl w:val="0"/>
          <w:numId w:val="0"/>
        </w:numPr>
        <w:spacing w:line="360" w:lineRule="auto"/>
        <w:ind w:firstLine="642" w:firstLineChars="0"/>
        <w:contextualSpacing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第三章为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基金管理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。明确基金投向、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出资、运作、绩效考核等要求（第十四条至第二十五条）。</w:t>
      </w:r>
    </w:p>
    <w:p w14:paraId="043F78C3">
      <w:pPr>
        <w:numPr>
          <w:ilvl w:val="0"/>
          <w:numId w:val="0"/>
        </w:numPr>
        <w:spacing w:line="360" w:lineRule="auto"/>
        <w:ind w:firstLine="642" w:firstLineChars="0"/>
        <w:contextualSpacing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第四章为风险控制及监督管理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。明确风险控制、监督检查、尽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免责、信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息报送等要求（第二十六条至第三十一条）。</w:t>
      </w:r>
    </w:p>
    <w:p w14:paraId="2C98B871">
      <w:pPr>
        <w:numPr>
          <w:ilvl w:val="0"/>
          <w:numId w:val="0"/>
        </w:numPr>
        <w:spacing w:line="360" w:lineRule="auto"/>
        <w:ind w:firstLine="642" w:firstLineChars="0"/>
        <w:contextualSpacing/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  <w:highlight w:val="none"/>
          <w:lang w:val="en-US" w:eastAsia="zh-CN"/>
        </w:rPr>
        <w:t>第五章为</w:t>
      </w:r>
      <w:r>
        <w:rPr>
          <w:rFonts w:hint="eastAsia" w:ascii="仿宋_GB2312" w:eastAsia="仿宋_GB2312"/>
          <w:b/>
          <w:bCs/>
          <w:color w:val="auto"/>
          <w:sz w:val="32"/>
          <w:szCs w:val="32"/>
          <w:highlight w:val="none"/>
          <w:lang w:val="en-US" w:eastAsia="zh-CN"/>
        </w:rPr>
        <w:t>职责分工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。明确财政部门、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发展改革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部门、业务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主管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部门、受托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管理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机构、基金管理人、托管银行等职责（第三十二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条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至第三十七条）。</w:t>
      </w:r>
    </w:p>
    <w:p w14:paraId="20681842">
      <w:pPr>
        <w:numPr>
          <w:ilvl w:val="0"/>
          <w:numId w:val="0"/>
        </w:numPr>
        <w:spacing w:line="360" w:lineRule="auto"/>
        <w:ind w:firstLine="642" w:firstLineChars="0"/>
        <w:contextualSpacing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第六章为附则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。明确适用范围、实施时间等（第三十八条至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第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四十条）。</w:t>
      </w:r>
    </w:p>
    <w:p w14:paraId="0FE9CB3B">
      <w:pPr>
        <w:numPr>
          <w:ilvl w:val="0"/>
          <w:numId w:val="0"/>
        </w:numPr>
        <w:spacing w:line="360" w:lineRule="auto"/>
        <w:ind w:firstLine="642" w:firstLineChars="0"/>
        <w:contextualSpacing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>2个附件包括：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一是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</w:rPr>
        <w:t>受托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管理机构、基金管理人和托管银行准入条件及有关要求</w:t>
      </w:r>
      <w:r>
        <w:rPr>
          <w:rFonts w:hint="eastAsia" w:ascii="仿宋_GB2312" w:eastAsia="仿宋_GB2312"/>
          <w:b w:val="0"/>
          <w:bCs w:val="0"/>
          <w:sz w:val="32"/>
          <w:szCs w:val="32"/>
          <w:lang w:eastAsia="zh-CN"/>
        </w:rPr>
        <w:t>，二是</w:t>
      </w:r>
      <w:r>
        <w:rPr>
          <w:rFonts w:hint="eastAsia" w:ascii="仿宋_GB2312" w:eastAsia="仿宋_GB2312"/>
          <w:sz w:val="32"/>
          <w:szCs w:val="32"/>
        </w:rPr>
        <w:t>基金管理费用计提规则及有关标准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</w:p>
    <w:p w14:paraId="0A664E48">
      <w:pPr>
        <w:numPr>
          <w:ilvl w:val="0"/>
          <w:numId w:val="0"/>
        </w:numPr>
        <w:spacing w:line="360" w:lineRule="auto"/>
        <w:ind w:firstLine="640" w:firstLineChars="200"/>
        <w:contextualSpacing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三、政策依据</w:t>
      </w:r>
    </w:p>
    <w:p w14:paraId="469A0686">
      <w:pPr>
        <w:numPr>
          <w:ilvl w:val="0"/>
          <w:numId w:val="0"/>
        </w:numPr>
        <w:spacing w:line="360" w:lineRule="auto"/>
        <w:ind w:firstLine="640" w:firstLineChars="200"/>
        <w:contextualSpacing/>
        <w:rPr>
          <w:rFonts w:hint="eastAsia" w:eastAsia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auto"/>
          <w:sz w:val="32"/>
          <w:szCs w:val="32"/>
          <w:u w:val="none"/>
          <w:lang w:val="en-US" w:eastAsia="zh-CN"/>
        </w:rPr>
        <w:t>1.</w:t>
      </w:r>
      <w:r>
        <w:rPr>
          <w:rFonts w:eastAsia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《中华人民共和国预算法》及其实施条例</w:t>
      </w:r>
      <w:r>
        <w:rPr>
          <w:rFonts w:hint="eastAsia" w:eastAsia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；</w:t>
      </w:r>
    </w:p>
    <w:p w14:paraId="2F01AE15">
      <w:pPr>
        <w:numPr>
          <w:ilvl w:val="0"/>
          <w:numId w:val="0"/>
        </w:numPr>
        <w:spacing w:line="360" w:lineRule="auto"/>
        <w:ind w:firstLine="640" w:firstLineChars="200"/>
        <w:contextualSpacing/>
        <w:rPr>
          <w:rFonts w:hint="eastAsia" w:eastAsia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auto"/>
          <w:sz w:val="32"/>
          <w:szCs w:val="32"/>
          <w:u w:val="none"/>
          <w:lang w:val="en-US" w:eastAsia="zh-CN"/>
        </w:rPr>
        <w:t>2.</w:t>
      </w:r>
      <w:r>
        <w:rPr>
          <w:rFonts w:eastAsia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《国务院办公厅关于促进政府投资基金高质量发展的指导意见》（国办发〔2025〕1号）</w:t>
      </w:r>
      <w:r>
        <w:rPr>
          <w:rFonts w:hint="eastAsia" w:eastAsia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72209891"/>
    <w:p w14:paraId="2798624E">
      <w:pPr>
        <w:pStyle w:val="2"/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EF" w:usb1="C0007841" w:usb2="00000009" w:usb3="00000000" w:csb0="400001FF" w:csb1="FFFF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汉仪书宋二KW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_GB2312">
    <w:altName w:val="汉仪楷体简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楷体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9AA1E5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44363FC">
                          <w:pPr>
                            <w:pStyle w:val="5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44363FC">
                    <w:pPr>
                      <w:pStyle w:val="5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NotDisplayPageBoundaries w:val="1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DB065C"/>
    <w:rsid w:val="03DB065C"/>
    <w:rsid w:val="04A22F2C"/>
    <w:rsid w:val="06EA0F75"/>
    <w:rsid w:val="1EE20E26"/>
    <w:rsid w:val="24D942F0"/>
    <w:rsid w:val="3ED7A213"/>
    <w:rsid w:val="429531AD"/>
    <w:rsid w:val="49E04B26"/>
    <w:rsid w:val="57779FBE"/>
    <w:rsid w:val="587C6316"/>
    <w:rsid w:val="6BE7CC4E"/>
    <w:rsid w:val="72FD7617"/>
    <w:rsid w:val="7BD454E5"/>
    <w:rsid w:val="EFBC27FB"/>
    <w:rsid w:val="FFE51F63"/>
    <w:rsid w:val="FFEDF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qFormat/>
    <w:uiPriority w:val="0"/>
    <w:pPr>
      <w:ind w:left="200" w:leftChars="200"/>
    </w:pPr>
  </w:style>
  <w:style w:type="paragraph" w:styleId="3">
    <w:name w:val="Body Text"/>
    <w:basedOn w:val="1"/>
    <w:next w:val="4"/>
    <w:qFormat/>
    <w:uiPriority w:val="0"/>
    <w:pPr>
      <w:spacing w:before="0" w:after="140" w:line="276" w:lineRule="auto"/>
    </w:pPr>
    <w:rPr>
      <w:rFonts w:eastAsia="仿宋_GB2312" w:asciiTheme="minorAscii" w:hAnsiTheme="minorAscii"/>
      <w:sz w:val="32"/>
    </w:rPr>
  </w:style>
  <w:style w:type="paragraph" w:styleId="4">
    <w:name w:val="Body Text First Indent"/>
    <w:basedOn w:val="3"/>
    <w:qFormat/>
    <w:uiPriority w:val="0"/>
    <w:pPr>
      <w:ind w:firstLine="420" w:firstLineChars="1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5</TotalTime>
  <ScaleCrop>false</ScaleCrop>
  <LinksUpToDate>false</LinksUpToDate>
  <CharactersWithSpaces>0</CharactersWithSpaces>
  <Application>WPS Office_6.13.2.8918_F1E327BC-269C-435d-A152-05C5408002CA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2025-03-15T01:06:00Z</dcterms:created>
  <dc:creator>李哿</dc:creator>
  <cp:lastModifiedBy>辣辣辣</cp:lastModifiedBy>
  <cp:lastPrinted>2025-03-14T11:39:00Z</cp:lastPrinted>
  <dcterms:modified xsi:type="dcterms:W3CDTF">2025-03-16T20:14:19Z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2052-6.13.2.8918</vt:lpwstr>
  </property>
  <property fmtid="{D5CDD505-2E9C-101B-9397-08002B2CF9AE}" pid="3" name="ICV">
    <vt:lpwstr>108BED3788613B1B8FA4D3676F4D322C</vt:lpwstr>
  </property>
</Properties>
</file>