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2" w:beforeLines="150" w:line="360" w:lineRule="auto"/>
        <w:ind w:firstLine="157"/>
        <w:contextualSpacing/>
        <w:jc w:val="center"/>
        <w:rPr>
          <w:rFonts w:hint="eastAsia" w:ascii="仿宋_GB2312" w:eastAsia="仿宋_GB2312"/>
          <w:sz w:val="32"/>
          <w:szCs w:val="32"/>
        </w:rPr>
      </w:pPr>
      <w:bookmarkStart w:id="0" w:name="文号的完整"/>
      <w:r>
        <w:rPr>
          <w:rFonts w:hint="eastAsia" w:ascii="仿宋_GB2312" w:hAnsi="仿宋_GB2312" w:eastAsia="仿宋_GB2312" w:cs="仿宋_GB2312"/>
          <w:color w:val="000000"/>
          <w:sz w:val="32"/>
          <w:szCs w:val="32"/>
          <w:lang w:eastAsia="zh-CN"/>
        </w:rPr>
        <w:t>粤财罚〔2024〕31号</w:t>
      </w:r>
      <w:bookmarkEnd w:id="0"/>
      <w:r>
        <w:rPr>
          <w:rFonts w:hint="eastAsia"/>
          <w:sz w:val="28"/>
          <w:szCs w:val="28"/>
        </w:rPr>
        <w:t xml:space="preserve">    </w: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288" w:lineRule="auto"/>
        <w:contextualSpacing/>
        <w:jc w:val="center"/>
        <w:textAlignment w:val="auto"/>
        <w:outlineLvl w:val="9"/>
        <w:rPr>
          <w:rFonts w:hint="eastAsia" w:ascii="方正小标宋简体" w:hAnsi="方正小标宋简体" w:eastAsia="方正小标宋简体" w:cs="方正小标宋简体"/>
          <w:b w:val="0"/>
          <w:bCs/>
          <w:sz w:val="44"/>
          <w:szCs w:val="44"/>
          <w:lang w:val="en-US" w:eastAsia="zh-CN"/>
        </w:rPr>
      </w:pPr>
      <w:bookmarkStart w:id="2" w:name="_GoBack"/>
      <w:r>
        <w:rPr>
          <w:rFonts w:hint="eastAsia" w:ascii="方正小标宋简体" w:hAnsi="方正小标宋简体" w:eastAsia="方正小标宋简体" w:cs="方正小标宋简体"/>
          <w:b w:val="0"/>
          <w:bCs/>
          <w:sz w:val="44"/>
          <w:szCs w:val="44"/>
          <w:lang w:val="en-US" w:eastAsia="zh-CN"/>
        </w:rPr>
        <w:t>财政监督行政处罚决定书</w:t>
      </w:r>
      <w:bookmarkEnd w:id="2"/>
    </w:p>
    <w:p>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outlineLvl w:val="9"/>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b w:val="0"/>
          <w:bCs w:val="0"/>
          <w:kern w:val="0"/>
          <w:sz w:val="32"/>
          <w:szCs w:val="32"/>
          <w:lang w:val="en-US" w:eastAsia="zh-CN"/>
        </w:rPr>
      </w:pPr>
      <w:bookmarkStart w:id="1" w:name="Content"/>
      <w:bookmarkEnd w:id="1"/>
      <w:r>
        <w:rPr>
          <w:rFonts w:hint="eastAsia" w:ascii="仿宋_GB2312" w:hAnsi="仿宋_GB2312" w:eastAsia="仿宋_GB2312" w:cs="仿宋_GB2312"/>
          <w:b w:val="0"/>
          <w:bCs w:val="0"/>
          <w:kern w:val="0"/>
          <w:sz w:val="32"/>
          <w:szCs w:val="32"/>
          <w:lang w:val="en-US" w:eastAsia="zh-CN"/>
        </w:rPr>
        <w:t>当事人：</w:t>
      </w:r>
      <w:r>
        <w:rPr>
          <w:rFonts w:hint="eastAsia" w:ascii="仿宋_GB2312" w:hAnsi="仿宋_GB2312" w:eastAsia="仿宋_GB2312" w:cs="仿宋_GB2312"/>
          <w:b w:val="0"/>
          <w:bCs w:val="0"/>
          <w:kern w:val="0"/>
          <w:sz w:val="32"/>
          <w:szCs w:val="32"/>
          <w:lang w:eastAsia="zh-CN"/>
        </w:rPr>
        <w:t>广东嘉永房地产土地与资产评估咨询有限公</w:t>
      </w:r>
      <w:r>
        <w:rPr>
          <w:rFonts w:hint="eastAsia" w:ascii="仿宋_GB2312" w:hAnsi="仿宋_GB2312" w:eastAsia="仿宋_GB2312" w:cs="仿宋_GB2312"/>
          <w:b w:val="0"/>
          <w:bCs w:val="0"/>
          <w:kern w:val="0"/>
          <w:sz w:val="32"/>
          <w:szCs w:val="32"/>
        </w:rPr>
        <w:t>司</w:t>
      </w:r>
    </w:p>
    <w:p>
      <w:pPr>
        <w:keepNext w:val="0"/>
        <w:keepLines w:val="0"/>
        <w:pageBreakBefore w:val="0"/>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统一社会信用代码：</w:t>
      </w:r>
      <w:r>
        <w:rPr>
          <w:rFonts w:hint="eastAsia" w:ascii="仿宋_GB2312" w:hAnsi="仿宋_GB2312" w:eastAsia="仿宋_GB2312" w:cs="仿宋_GB2312"/>
          <w:b w:val="0"/>
          <w:bCs w:val="0"/>
          <w:kern w:val="0"/>
          <w:sz w:val="32"/>
          <w:szCs w:val="32"/>
        </w:rPr>
        <w:t>914401017755508845</w:t>
      </w:r>
    </w:p>
    <w:p>
      <w:pPr>
        <w:keepNext w:val="0"/>
        <w:keepLines w:val="0"/>
        <w:pageBreakBefore w:val="0"/>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法定代表人：石*锦</w:t>
      </w:r>
    </w:p>
    <w:p>
      <w:pPr>
        <w:keepNext w:val="0"/>
        <w:keepLines w:val="0"/>
        <w:pageBreakBefore w:val="0"/>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地  址：</w:t>
      </w:r>
      <w:r>
        <w:rPr>
          <w:rFonts w:hint="eastAsia" w:ascii="仿宋_GB2312" w:hAnsi="仿宋_GB2312" w:eastAsia="仿宋_GB2312" w:cs="仿宋_GB2312"/>
          <w:b w:val="0"/>
          <w:bCs w:val="0"/>
          <w:kern w:val="0"/>
          <w:sz w:val="32"/>
          <w:szCs w:val="32"/>
          <w:lang w:eastAsia="zh-CN"/>
        </w:rPr>
        <w:t>广州市天河区华强路3号之二2807房</w:t>
      </w:r>
    </w:p>
    <w:p>
      <w:pPr>
        <w:keepNext w:val="0"/>
        <w:keepLines w:val="0"/>
        <w:pageBreakBefore w:val="0"/>
        <w:kinsoku/>
        <w:wordWrap/>
        <w:overflowPunct/>
        <w:topLinePunct w:val="0"/>
        <w:autoSpaceDE/>
        <w:autoSpaceDN/>
        <w:bidi w:val="0"/>
        <w:adjustRightInd/>
        <w:snapToGrid w:val="0"/>
        <w:spacing w:line="356" w:lineRule="auto"/>
        <w:ind w:firstLine="640"/>
        <w:jc w:val="both"/>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after="0" w:line="356" w:lineRule="auto"/>
        <w:ind w:left="0" w:right="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rPr>
        <w:t>根据《中华人民共和国资产评估法》《资产评估行业财政监督管理办法》（财政部令第97号）和《</w:t>
      </w:r>
      <w:r>
        <w:rPr>
          <w:rFonts w:hint="eastAsia" w:ascii="仿宋_GB2312" w:hAnsi="仿宋_GB2312" w:eastAsia="仿宋_GB2312" w:cs="仿宋_GB2312"/>
          <w:bCs/>
          <w:kern w:val="0"/>
          <w:sz w:val="32"/>
          <w:szCs w:val="32"/>
          <w:highlight w:val="none"/>
          <w:lang w:eastAsia="zh-CN"/>
        </w:rPr>
        <w:t>中华人民共和国</w:t>
      </w:r>
      <w:r>
        <w:rPr>
          <w:rFonts w:hint="eastAsia" w:ascii="仿宋_GB2312" w:hAnsi="仿宋_GB2312" w:eastAsia="仿宋_GB2312" w:cs="仿宋_GB2312"/>
          <w:bCs/>
          <w:kern w:val="0"/>
          <w:sz w:val="32"/>
          <w:szCs w:val="32"/>
          <w:highlight w:val="none"/>
        </w:rPr>
        <w:t>会计</w:t>
      </w:r>
      <w:r>
        <w:rPr>
          <w:rFonts w:hint="eastAsia" w:ascii="仿宋_GB2312" w:hAnsi="仿宋_GB2312" w:eastAsia="仿宋_GB2312" w:cs="仿宋_GB2312"/>
          <w:bCs w:val="0"/>
          <w:kern w:val="0"/>
          <w:sz w:val="32"/>
          <w:szCs w:val="32"/>
          <w:highlight w:val="none"/>
        </w:rPr>
        <w:t>法》</w:t>
      </w:r>
      <w:r>
        <w:rPr>
          <w:rFonts w:hint="eastAsia" w:ascii="仿宋_GB2312" w:hAnsi="仿宋_GB2312" w:eastAsia="仿宋_GB2312" w:cs="仿宋_GB2312"/>
          <w:kern w:val="0"/>
          <w:sz w:val="32"/>
          <w:szCs w:val="32"/>
        </w:rPr>
        <w:t>等法律法规规定，</w:t>
      </w:r>
      <w:r>
        <w:rPr>
          <w:rFonts w:hint="eastAsia" w:ascii="仿宋_GB2312" w:hAnsi="仿宋_GB2312" w:eastAsia="仿宋_GB2312" w:cs="仿宋_GB2312"/>
          <w:kern w:val="0"/>
          <w:sz w:val="32"/>
          <w:szCs w:val="32"/>
          <w:lang w:eastAsia="zh-CN"/>
        </w:rPr>
        <w:t>广东</w:t>
      </w:r>
      <w:r>
        <w:rPr>
          <w:rFonts w:hint="eastAsia" w:ascii="仿宋_GB2312" w:hAnsi="仿宋_GB2312" w:eastAsia="仿宋_GB2312" w:cs="仿宋_GB2312"/>
          <w:b w:val="0"/>
          <w:bCs w:val="0"/>
          <w:kern w:val="0"/>
          <w:sz w:val="32"/>
          <w:szCs w:val="32"/>
          <w:lang w:val="en-US" w:eastAsia="zh-CN"/>
        </w:rPr>
        <w:t>省财政厅于</w:t>
      </w:r>
      <w:r>
        <w:rPr>
          <w:rFonts w:hint="default" w:ascii="仿宋_GB2312" w:hAnsi="仿宋_GB2312" w:eastAsia="仿宋_GB2312" w:cs="仿宋_GB2312"/>
          <w:b w:val="0"/>
          <w:bCs w:val="0"/>
          <w:kern w:val="0"/>
          <w:sz w:val="32"/>
          <w:szCs w:val="32"/>
          <w:lang w:val="en-US" w:eastAsia="zh-CN"/>
        </w:rPr>
        <w:t>2023</w:t>
      </w:r>
      <w:r>
        <w:rPr>
          <w:rFonts w:hint="eastAsia" w:ascii="仿宋_GB2312" w:hAnsi="仿宋_GB2312" w:eastAsia="仿宋_GB2312" w:cs="仿宋_GB2312"/>
          <w:b w:val="0"/>
          <w:bCs w:val="0"/>
          <w:kern w:val="0"/>
          <w:sz w:val="32"/>
          <w:szCs w:val="32"/>
          <w:lang w:val="en-US" w:eastAsia="zh-CN"/>
        </w:rPr>
        <w:t>年</w:t>
      </w:r>
      <w:r>
        <w:rPr>
          <w:rFonts w:hint="default" w:ascii="仿宋_GB2312" w:hAnsi="仿宋_GB2312" w:eastAsia="仿宋_GB2312" w:cs="仿宋_GB2312"/>
          <w:b w:val="0"/>
          <w:bCs w:val="0"/>
          <w:kern w:val="0"/>
          <w:sz w:val="32"/>
          <w:szCs w:val="32"/>
          <w:lang w:val="en-US" w:eastAsia="zh-CN"/>
        </w:rPr>
        <w:t>8</w:t>
      </w:r>
      <w:r>
        <w:rPr>
          <w:rFonts w:hint="eastAsia" w:ascii="仿宋_GB2312" w:hAnsi="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lang w:val="en-US" w:eastAsia="zh-CN"/>
        </w:rPr>
        <w:t>9月</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lang w:eastAsia="zh-CN"/>
        </w:rPr>
        <w:t>广东嘉永房地产土地与资产评估咨询有限公</w:t>
      </w:r>
      <w:r>
        <w:rPr>
          <w:rFonts w:hint="eastAsia" w:ascii="仿宋_GB2312" w:hAnsi="仿宋_GB2312" w:eastAsia="仿宋_GB2312" w:cs="仿宋_GB2312"/>
          <w:b w:val="0"/>
          <w:bCs w:val="0"/>
          <w:kern w:val="0"/>
          <w:sz w:val="32"/>
          <w:szCs w:val="32"/>
        </w:rPr>
        <w:t>司</w:t>
      </w:r>
      <w:r>
        <w:rPr>
          <w:rFonts w:hint="eastAsia" w:ascii="仿宋_GB2312" w:hAnsi="仿宋_GB2312" w:eastAsia="仿宋_GB2312" w:cs="仿宋_GB2312"/>
          <w:b w:val="0"/>
          <w:bCs w:val="0"/>
          <w:kern w:val="0"/>
          <w:sz w:val="32"/>
          <w:szCs w:val="32"/>
          <w:lang w:val="en-US" w:eastAsia="zh-CN"/>
        </w:rPr>
        <w:t>（以下简称嘉永公司）开展检查。经依法检查，本机关认定的违法事实及作出的行政处罚决定如下：</w:t>
      </w:r>
    </w:p>
    <w:p>
      <w:pPr>
        <w:keepNext w:val="0"/>
        <w:keepLines w:val="0"/>
        <w:pageBreakBefore w:val="0"/>
        <w:widowControl/>
        <w:kinsoku/>
        <w:wordWrap/>
        <w:overflowPunct/>
        <w:topLinePunct w:val="0"/>
        <w:autoSpaceDE/>
        <w:autoSpaceDN/>
        <w:bidi w:val="0"/>
        <w:adjustRightInd/>
        <w:snapToGrid w:val="0"/>
        <w:spacing w:line="356" w:lineRule="auto"/>
        <w:ind w:firstLine="640" w:firstLineChars="20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highlight w:val="none"/>
          <w:lang w:val="en-US" w:eastAsia="zh-CN"/>
        </w:rPr>
        <w:t>一、</w:t>
      </w:r>
      <w:r>
        <w:rPr>
          <w:rFonts w:hint="eastAsia" w:ascii="黑体" w:hAnsi="黑体" w:eastAsia="黑体" w:cs="黑体"/>
          <w:b w:val="0"/>
          <w:bCs w:val="0"/>
          <w:kern w:val="0"/>
          <w:sz w:val="32"/>
          <w:szCs w:val="32"/>
          <w:lang w:val="en-US" w:eastAsia="zh-CN"/>
        </w:rPr>
        <w:t>会计信息质量</w:t>
      </w:r>
      <w:r>
        <w:rPr>
          <w:rFonts w:hint="eastAsia" w:ascii="黑体" w:hAnsi="仿宋" w:eastAsia="黑体" w:cs="黑体"/>
          <w:bCs/>
          <w:sz w:val="32"/>
          <w:szCs w:val="32"/>
        </w:rPr>
        <w:t>违法事实</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highlight w:val="none"/>
          <w:lang w:val="en-US" w:eastAsia="zh-CN"/>
        </w:rPr>
        <w:t>（一）</w:t>
      </w:r>
      <w:r>
        <w:rPr>
          <w:rFonts w:hint="eastAsia" w:ascii="楷体_GB2312" w:hAnsi="楷体_GB2312" w:eastAsia="楷体_GB2312" w:cs="楷体_GB2312"/>
          <w:b/>
          <w:bCs/>
          <w:kern w:val="0"/>
          <w:sz w:val="32"/>
          <w:szCs w:val="32"/>
        </w:rPr>
        <w:t>无合法依据</w:t>
      </w:r>
      <w:r>
        <w:rPr>
          <w:rFonts w:hint="eastAsia" w:ascii="楷体_GB2312" w:hAnsi="楷体_GB2312" w:eastAsia="楷体_GB2312" w:cs="楷体_GB2312"/>
          <w:b/>
          <w:bCs/>
          <w:kern w:val="0"/>
          <w:sz w:val="32"/>
          <w:szCs w:val="32"/>
          <w:lang w:eastAsia="zh-CN"/>
        </w:rPr>
        <w:t>（无发票、重复）</w:t>
      </w:r>
      <w:r>
        <w:rPr>
          <w:rFonts w:hint="eastAsia" w:ascii="楷体_GB2312" w:hAnsi="楷体_GB2312" w:eastAsia="楷体_GB2312" w:cs="楷体_GB2312"/>
          <w:b/>
          <w:bCs/>
          <w:kern w:val="0"/>
          <w:sz w:val="32"/>
          <w:szCs w:val="32"/>
        </w:rPr>
        <w:t>列支费用1,638,988.71元</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b w:val="0"/>
          <w:bCs w:val="0"/>
          <w:kern w:val="2"/>
          <w:sz w:val="32"/>
          <w:szCs w:val="32"/>
          <w:lang w:eastAsia="zh-CN"/>
        </w:rPr>
        <w:t>经查，</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b w:val="0"/>
          <w:bCs w:val="0"/>
          <w:kern w:val="2"/>
          <w:sz w:val="32"/>
          <w:szCs w:val="32"/>
          <w:lang w:val="en-US" w:eastAsia="zh-CN"/>
        </w:rPr>
        <w:t>2022年</w:t>
      </w:r>
      <w:r>
        <w:rPr>
          <w:rFonts w:hint="eastAsia" w:ascii="仿宋_GB2312" w:hAnsi="仿宋_GB2312" w:eastAsia="仿宋_GB2312" w:cs="仿宋_GB2312"/>
          <w:sz w:val="32"/>
          <w:szCs w:val="32"/>
        </w:rPr>
        <w:t>销售费用和管理费用中</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交通费</w:t>
      </w:r>
      <w:r>
        <w:rPr>
          <w:rFonts w:hint="eastAsia" w:ascii="仿宋_GB2312" w:hAnsi="仿宋_GB2312" w:eastAsia="仿宋_GB2312" w:cs="仿宋_GB2312"/>
          <w:b w:val="0"/>
          <w:bCs w:val="0"/>
          <w:kern w:val="2"/>
          <w:sz w:val="32"/>
          <w:szCs w:val="32"/>
          <w:lang w:eastAsia="zh-CN"/>
        </w:rPr>
        <w:t>存在</w:t>
      </w:r>
      <w:r>
        <w:rPr>
          <w:rFonts w:hint="eastAsia" w:ascii="仿宋_GB2312" w:hAnsi="仿宋_GB2312" w:eastAsia="仿宋_GB2312" w:cs="仿宋_GB2312"/>
          <w:sz w:val="32"/>
          <w:szCs w:val="32"/>
        </w:rPr>
        <w:t>列支不合理票据</w:t>
      </w:r>
      <w:r>
        <w:rPr>
          <w:rFonts w:hint="eastAsia" w:ascii="仿宋_GB2312" w:hAnsi="仿宋_GB2312" w:eastAsia="仿宋_GB2312" w:cs="仿宋_GB2312"/>
          <w:sz w:val="32"/>
          <w:szCs w:val="32"/>
          <w:lang w:eastAsia="zh-CN"/>
        </w:rPr>
        <w:t>问题（如，同一人两个月</w:t>
      </w:r>
      <w:r>
        <w:rPr>
          <w:rFonts w:hint="eastAsia" w:ascii="仿宋_GB2312" w:hAnsi="仿宋_GB2312" w:eastAsia="仿宋_GB2312" w:cs="仿宋_GB2312"/>
          <w:b w:val="0"/>
          <w:bCs w:val="0"/>
          <w:kern w:val="2"/>
          <w:sz w:val="32"/>
          <w:szCs w:val="32"/>
          <w:lang w:eastAsia="zh-CN"/>
        </w:rPr>
        <w:t>累计报销</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出租车票，</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月法定工作日21天计算，平均每天</w:t>
      </w:r>
      <w:r>
        <w:rPr>
          <w:rFonts w:hint="eastAsia" w:ascii="仿宋_GB2312" w:hAnsi="仿宋_GB2312" w:eastAsia="仿宋_GB2312" w:cs="仿宋_GB2312"/>
          <w:sz w:val="32"/>
          <w:szCs w:val="32"/>
          <w:lang w:eastAsia="zh-CN"/>
        </w:rPr>
        <w:t>乘坐</w:t>
      </w:r>
      <w:r>
        <w:rPr>
          <w:rFonts w:hint="eastAsia" w:ascii="仿宋_GB2312" w:hAnsi="仿宋_GB2312" w:eastAsia="仿宋_GB2312" w:cs="仿宋_GB2312"/>
          <w:sz w:val="32"/>
          <w:szCs w:val="32"/>
        </w:rPr>
        <w:t>出租车55趟</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654,217.50元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管理费用中办公费、差旅费存在</w:t>
      </w:r>
      <w:r>
        <w:rPr>
          <w:rFonts w:hint="eastAsia" w:ascii="仿宋_GB2312" w:hAnsi="仿宋_GB2312" w:eastAsia="仿宋_GB2312" w:cs="仿宋_GB2312"/>
          <w:sz w:val="32"/>
          <w:szCs w:val="32"/>
        </w:rPr>
        <w:t>无发票列支</w:t>
      </w:r>
      <w:r>
        <w:rPr>
          <w:rFonts w:hint="eastAsia" w:ascii="仿宋_GB2312" w:hAnsi="仿宋_GB2312" w:eastAsia="仿宋_GB2312" w:cs="仿宋_GB2312"/>
          <w:sz w:val="32"/>
          <w:szCs w:val="32"/>
          <w:lang w:eastAsia="zh-CN"/>
        </w:rPr>
        <w:t>问题，金额</w:t>
      </w:r>
      <w:r>
        <w:rPr>
          <w:rFonts w:hint="eastAsia" w:ascii="仿宋_GB2312" w:hAnsi="仿宋_GB2312" w:eastAsia="仿宋_GB2312" w:cs="仿宋_GB2312"/>
          <w:sz w:val="32"/>
          <w:szCs w:val="32"/>
        </w:rPr>
        <w:t>552,614元</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重复列支费用</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432,157.21元</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kern w:val="2"/>
          <w:sz w:val="32"/>
          <w:szCs w:val="32"/>
          <w:highlight w:val="none"/>
          <w:lang w:val="en-US" w:eastAsia="zh-CN"/>
        </w:rPr>
        <w:t>二</w:t>
      </w:r>
      <w:r>
        <w:rPr>
          <w:rFonts w:hint="eastAsia" w:ascii="楷体_GB2312" w:hAnsi="楷体_GB2312" w:eastAsia="楷体_GB2312" w:cs="楷体_GB2312"/>
          <w:b/>
          <w:bCs/>
          <w:sz w:val="32"/>
          <w:szCs w:val="32"/>
          <w:highlight w:val="none"/>
        </w:rPr>
        <w:t>）账实不符列支费用108,090元</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经查，</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rPr>
        <w:t>2022年管理费用中列支购买电脑、</w:t>
      </w:r>
      <w:r>
        <w:rPr>
          <w:rFonts w:hint="eastAsia" w:ascii="仿宋_GB2312" w:hAnsi="仿宋_GB2312" w:eastAsia="仿宋_GB2312" w:cs="仿宋_GB2312"/>
          <w:kern w:val="0"/>
          <w:sz w:val="32"/>
          <w:szCs w:val="32"/>
          <w:lang w:eastAsia="zh-CN"/>
        </w:rPr>
        <w:t>背包、</w:t>
      </w:r>
      <w:r>
        <w:rPr>
          <w:rFonts w:hint="eastAsia" w:ascii="仿宋_GB2312" w:hAnsi="仿宋_GB2312" w:eastAsia="仿宋_GB2312" w:cs="仿宋_GB2312"/>
          <w:kern w:val="0"/>
          <w:sz w:val="32"/>
          <w:szCs w:val="32"/>
        </w:rPr>
        <w:t>咖啡机</w:t>
      </w:r>
      <w:r>
        <w:rPr>
          <w:rFonts w:hint="eastAsia" w:ascii="仿宋_GB2312" w:hAnsi="仿宋_GB2312" w:eastAsia="仿宋_GB2312" w:cs="仿宋_GB2312"/>
          <w:kern w:val="0"/>
          <w:sz w:val="32"/>
          <w:szCs w:val="32"/>
          <w:lang w:eastAsia="zh-CN"/>
        </w:rPr>
        <w:t>、吹风机</w:t>
      </w:r>
      <w:r>
        <w:rPr>
          <w:rFonts w:hint="eastAsia" w:ascii="仿宋_GB2312" w:hAnsi="仿宋_GB2312" w:eastAsia="仿宋_GB2312" w:cs="仿宋_GB2312"/>
          <w:kern w:val="0"/>
          <w:sz w:val="32"/>
          <w:szCs w:val="32"/>
        </w:rPr>
        <w:t>等实物支出共108,090元，盘点均无实物。</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kern w:val="2"/>
          <w:sz w:val="32"/>
          <w:szCs w:val="32"/>
          <w:highlight w:val="none"/>
          <w:lang w:val="en-US" w:eastAsia="zh-CN"/>
        </w:rPr>
        <w:t>三</w:t>
      </w:r>
      <w:r>
        <w:rPr>
          <w:rFonts w:hint="eastAsia" w:ascii="楷体_GB2312" w:hAnsi="楷体_GB2312" w:eastAsia="楷体_GB2312" w:cs="楷体_GB2312"/>
          <w:b/>
          <w:bCs/>
          <w:sz w:val="32"/>
          <w:szCs w:val="32"/>
          <w:highlight w:val="none"/>
        </w:rPr>
        <w:t>）无依据随意调整账务及现金收支无原始凭证</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经查，</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b w:val="0"/>
          <w:bCs w:val="0"/>
          <w:sz w:val="32"/>
          <w:szCs w:val="32"/>
          <w:highlight w:val="none"/>
          <w:lang w:eastAsia="zh-CN"/>
        </w:rPr>
        <w:t>在</w:t>
      </w:r>
      <w:r>
        <w:rPr>
          <w:rFonts w:hint="eastAsia" w:ascii="仿宋_GB2312" w:hAnsi="仿宋_GB2312" w:eastAsia="仿宋_GB2312" w:cs="仿宋_GB2312"/>
          <w:kern w:val="0"/>
          <w:sz w:val="32"/>
          <w:szCs w:val="32"/>
        </w:rPr>
        <w:t>无依据无原始凭证</w:t>
      </w:r>
      <w:r>
        <w:rPr>
          <w:rFonts w:hint="eastAsia" w:ascii="仿宋_GB2312" w:hAnsi="仿宋_GB2312" w:eastAsia="仿宋_GB2312" w:cs="仿宋_GB2312"/>
          <w:kern w:val="0"/>
          <w:sz w:val="32"/>
          <w:szCs w:val="32"/>
          <w:lang w:eastAsia="zh-CN"/>
        </w:rPr>
        <w:t>情况下，</w:t>
      </w:r>
      <w:r>
        <w:rPr>
          <w:rFonts w:hint="eastAsia" w:ascii="仿宋_GB2312" w:hAnsi="仿宋_GB2312" w:eastAsia="仿宋_GB2312" w:cs="仿宋_GB2312"/>
          <w:kern w:val="0"/>
          <w:sz w:val="32"/>
          <w:szCs w:val="32"/>
        </w:rPr>
        <w:t>2022年长期股权投资年初余额700万元，当年调整至其他应收款</w:t>
      </w:r>
      <w:r>
        <w:rPr>
          <w:rFonts w:hint="eastAsia" w:ascii="仿宋_GB2312" w:hAnsi="仿宋_GB2312" w:eastAsia="仿宋_GB2312" w:cs="仿宋_GB2312"/>
          <w:kern w:val="0"/>
          <w:sz w:val="32"/>
          <w:szCs w:val="32"/>
          <w:lang w:eastAsia="zh-CN"/>
        </w:rPr>
        <w:t>（两名员工）</w:t>
      </w:r>
      <w:r>
        <w:rPr>
          <w:rFonts w:hint="eastAsia" w:ascii="仿宋_GB2312" w:hAnsi="仿宋_GB2312" w:eastAsia="仿宋_GB2312" w:cs="仿宋_GB2312"/>
          <w:kern w:val="0"/>
          <w:sz w:val="32"/>
          <w:szCs w:val="32"/>
        </w:rPr>
        <w:t>550万元</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现金收入150万元。</w:t>
      </w:r>
      <w:r>
        <w:rPr>
          <w:rFonts w:hint="eastAsia" w:ascii="仿宋_GB2312" w:hAnsi="仿宋_GB2312" w:eastAsia="仿宋_GB2312" w:cs="仿宋_GB2312"/>
          <w:b/>
          <w:bCs/>
          <w:kern w:val="0"/>
          <w:sz w:val="32"/>
          <w:szCs w:val="32"/>
          <w:lang w:eastAsia="zh-CN"/>
        </w:rPr>
        <w:t>二是</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lang w:eastAsia="zh-CN"/>
        </w:rPr>
        <w:t>年末调</w:t>
      </w:r>
      <w:r>
        <w:rPr>
          <w:rFonts w:hint="eastAsia" w:ascii="仿宋_GB2312" w:hAnsi="仿宋_GB2312" w:eastAsia="仿宋_GB2312" w:cs="仿宋_GB2312"/>
          <w:kern w:val="0"/>
          <w:sz w:val="32"/>
          <w:szCs w:val="32"/>
        </w:rPr>
        <w:t>整其他应收款</w:t>
      </w:r>
      <w:r>
        <w:rPr>
          <w:rFonts w:hint="eastAsia" w:ascii="仿宋_GB2312" w:hAnsi="仿宋_GB2312" w:eastAsia="仿宋_GB2312" w:cs="仿宋_GB2312"/>
          <w:kern w:val="0"/>
          <w:sz w:val="32"/>
          <w:szCs w:val="32"/>
          <w:lang w:eastAsia="zh-CN"/>
        </w:rPr>
        <w:t>调</w:t>
      </w:r>
      <w:r>
        <w:rPr>
          <w:rFonts w:hint="eastAsia" w:ascii="仿宋_GB2312" w:hAnsi="仿宋_GB2312" w:eastAsia="仿宋_GB2312" w:cs="仿宋_GB2312"/>
          <w:kern w:val="0"/>
          <w:sz w:val="32"/>
          <w:szCs w:val="32"/>
        </w:rPr>
        <w:t>整69笔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其他应付款2笔</w:t>
      </w:r>
      <w:r>
        <w:rPr>
          <w:rFonts w:hint="eastAsia" w:ascii="仿宋_GB2312" w:hAnsi="仿宋_GB2312" w:eastAsia="仿宋_GB2312" w:cs="仿宋_GB2312"/>
          <w:kern w:val="0"/>
          <w:sz w:val="32"/>
          <w:szCs w:val="32"/>
          <w:lang w:eastAsia="zh-CN"/>
        </w:rPr>
        <w:t>，未见</w:t>
      </w:r>
      <w:r>
        <w:rPr>
          <w:rFonts w:hint="eastAsia" w:ascii="仿宋_GB2312" w:hAnsi="仿宋_GB2312" w:eastAsia="仿宋_GB2312" w:cs="仿宋_GB2312"/>
          <w:kern w:val="0"/>
          <w:sz w:val="32"/>
          <w:szCs w:val="32"/>
        </w:rPr>
        <w:t>任何附件资料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涉及借方金额2,779,095.45元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贷方金额2,727,199.90元，差额51,895.55元记</w:t>
      </w:r>
      <w:r>
        <w:rPr>
          <w:rFonts w:hint="eastAsia" w:ascii="仿宋_GB2312" w:hAnsi="仿宋_GB2312" w:eastAsia="仿宋_GB2312" w:cs="仿宋_GB2312"/>
          <w:kern w:val="0"/>
          <w:sz w:val="32"/>
          <w:szCs w:val="32"/>
          <w:lang w:eastAsia="zh-CN"/>
        </w:rPr>
        <w:t>入</w:t>
      </w:r>
      <w:r>
        <w:rPr>
          <w:rFonts w:hint="eastAsia" w:ascii="仿宋_GB2312" w:hAnsi="仿宋_GB2312" w:eastAsia="仿宋_GB2312" w:cs="仿宋_GB2312"/>
          <w:kern w:val="0"/>
          <w:sz w:val="32"/>
          <w:szCs w:val="32"/>
        </w:rPr>
        <w:t>现金。</w:t>
      </w:r>
      <w:r>
        <w:rPr>
          <w:rFonts w:hint="eastAsia" w:ascii="仿宋_GB2312" w:hAnsi="仿宋_GB2312" w:eastAsia="仿宋_GB2312" w:cs="仿宋_GB2312"/>
          <w:b/>
          <w:bCs/>
          <w:kern w:val="0"/>
          <w:sz w:val="32"/>
          <w:szCs w:val="32"/>
          <w:lang w:eastAsia="zh-CN"/>
        </w:rPr>
        <w:t>三是</w:t>
      </w:r>
      <w:r>
        <w:rPr>
          <w:rFonts w:hint="eastAsia" w:ascii="仿宋_GB2312" w:hAnsi="仿宋_GB2312" w:eastAsia="仿宋_GB2312" w:cs="仿宋_GB2312"/>
          <w:kern w:val="0"/>
          <w:sz w:val="32"/>
          <w:szCs w:val="32"/>
        </w:rPr>
        <w:t>抽查</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lang w:eastAsia="zh-CN"/>
        </w:rPr>
        <w:t>年末</w:t>
      </w:r>
      <w:r>
        <w:rPr>
          <w:rFonts w:hint="eastAsia" w:ascii="仿宋_GB2312" w:hAnsi="仿宋_GB2312" w:eastAsia="仿宋_GB2312" w:cs="仿宋_GB2312"/>
          <w:kern w:val="0"/>
          <w:sz w:val="32"/>
          <w:szCs w:val="32"/>
        </w:rPr>
        <w:t>现金收入和支出凭证43笔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收入19笔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支出24笔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均</w:t>
      </w:r>
      <w:r>
        <w:rPr>
          <w:rFonts w:hint="eastAsia" w:ascii="仿宋_GB2312" w:hAnsi="仿宋_GB2312" w:eastAsia="仿宋_GB2312" w:cs="仿宋_GB2312"/>
          <w:kern w:val="0"/>
          <w:sz w:val="32"/>
          <w:szCs w:val="32"/>
          <w:lang w:eastAsia="zh-CN"/>
        </w:rPr>
        <w:t>未附</w:t>
      </w:r>
      <w:r>
        <w:rPr>
          <w:rFonts w:hint="eastAsia" w:ascii="仿宋_GB2312" w:hAnsi="仿宋_GB2312" w:eastAsia="仿宋_GB2312" w:cs="仿宋_GB2312"/>
          <w:kern w:val="0"/>
          <w:sz w:val="32"/>
          <w:szCs w:val="32"/>
        </w:rPr>
        <w:t>原始凭证，</w:t>
      </w:r>
      <w:r>
        <w:rPr>
          <w:rFonts w:hint="eastAsia" w:ascii="仿宋_GB2312" w:hAnsi="仿宋_GB2312" w:eastAsia="仿宋_GB2312" w:cs="仿宋_GB2312"/>
          <w:kern w:val="0"/>
          <w:sz w:val="32"/>
          <w:szCs w:val="32"/>
          <w:lang w:eastAsia="zh-CN"/>
        </w:rPr>
        <w:t>涉及金额收入</w:t>
      </w:r>
      <w:r>
        <w:rPr>
          <w:rFonts w:hint="eastAsia" w:ascii="仿宋_GB2312" w:hAnsi="仿宋_GB2312" w:eastAsia="仿宋_GB2312" w:cs="仿宋_GB2312"/>
          <w:kern w:val="0"/>
          <w:sz w:val="32"/>
          <w:szCs w:val="32"/>
        </w:rPr>
        <w:t>836,226.24 元</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816,900元。</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kern w:val="2"/>
          <w:sz w:val="32"/>
          <w:szCs w:val="32"/>
          <w:highlight w:val="none"/>
          <w:lang w:val="en-US" w:eastAsia="zh-CN"/>
        </w:rPr>
        <w:t>四</w:t>
      </w:r>
      <w:r>
        <w:rPr>
          <w:rFonts w:hint="eastAsia" w:ascii="楷体_GB2312" w:hAnsi="楷体_GB2312" w:eastAsia="楷体_GB2312" w:cs="楷体_GB2312"/>
          <w:b/>
          <w:bCs/>
          <w:sz w:val="32"/>
          <w:szCs w:val="32"/>
          <w:highlight w:val="none"/>
        </w:rPr>
        <w:t>）账账不符</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经查，</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rPr>
        <w:t>2022年现金出纳日记账与财务会计账年初、年末余额均不相符。2022年</w:t>
      </w:r>
      <w:r>
        <w:rPr>
          <w:rFonts w:hint="eastAsia" w:ascii="仿宋_GB2312" w:hAnsi="仿宋_GB2312" w:eastAsia="仿宋_GB2312" w:cs="仿宋_GB2312"/>
          <w:b/>
          <w:bCs/>
          <w:kern w:val="0"/>
          <w:sz w:val="32"/>
          <w:szCs w:val="32"/>
        </w:rPr>
        <w:t>出纳日记账</w:t>
      </w:r>
      <w:r>
        <w:rPr>
          <w:rFonts w:hint="eastAsia" w:ascii="仿宋_GB2312" w:hAnsi="仿宋_GB2312" w:eastAsia="仿宋_GB2312" w:cs="仿宋_GB2312"/>
          <w:kern w:val="0"/>
          <w:sz w:val="32"/>
          <w:szCs w:val="32"/>
        </w:rPr>
        <w:t>现金年初余额35,549.95元，年末余额66,449.57元；财务</w:t>
      </w:r>
      <w:r>
        <w:rPr>
          <w:rFonts w:hint="eastAsia" w:ascii="仿宋_GB2312" w:hAnsi="仿宋_GB2312" w:eastAsia="仿宋_GB2312" w:cs="仿宋_GB2312"/>
          <w:b/>
          <w:bCs/>
          <w:kern w:val="0"/>
          <w:sz w:val="32"/>
          <w:szCs w:val="32"/>
        </w:rPr>
        <w:t>会计账</w:t>
      </w:r>
      <w:r>
        <w:rPr>
          <w:rFonts w:hint="eastAsia" w:ascii="仿宋_GB2312" w:hAnsi="仿宋_GB2312" w:eastAsia="仿宋_GB2312" w:cs="仿宋_GB2312"/>
          <w:kern w:val="0"/>
          <w:sz w:val="32"/>
          <w:szCs w:val="32"/>
        </w:rPr>
        <w:t>现金年初余额55,100.32 元，年末余额87,691.25元。</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kern w:val="0"/>
          <w:sz w:val="32"/>
          <w:szCs w:val="32"/>
          <w:highlight w:val="none"/>
          <w:lang w:eastAsia="zh-CN"/>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kern w:val="2"/>
          <w:sz w:val="32"/>
          <w:szCs w:val="32"/>
          <w:highlight w:val="none"/>
          <w:lang w:val="en-US" w:eastAsia="zh-CN"/>
        </w:rPr>
        <w:t>五</w:t>
      </w:r>
      <w:r>
        <w:rPr>
          <w:rFonts w:hint="eastAsia" w:ascii="楷体_GB2312" w:hAnsi="楷体_GB2312" w:eastAsia="楷体_GB2312" w:cs="楷体_GB2312"/>
          <w:b/>
          <w:bCs/>
          <w:sz w:val="32"/>
          <w:szCs w:val="32"/>
          <w:highlight w:val="none"/>
        </w:rPr>
        <w:t>）记账凭证内容不完整</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kern w:val="0"/>
          <w:sz w:val="32"/>
          <w:szCs w:val="32"/>
          <w:highlight w:val="none"/>
          <w:lang w:eastAsia="zh-CN"/>
        </w:rPr>
        <w:t>经</w:t>
      </w:r>
      <w:r>
        <w:rPr>
          <w:rFonts w:hint="eastAsia" w:ascii="仿宋_GB2312" w:hAnsi="仿宋_GB2312" w:eastAsia="仿宋_GB2312" w:cs="仿宋_GB2312"/>
          <w:kern w:val="0"/>
          <w:sz w:val="32"/>
          <w:szCs w:val="32"/>
        </w:rPr>
        <w:t>抽查</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rPr>
        <w:t>2022年会计凭证，记账凭证缺少会计主管、记账、审核、出纳、制单人员签名或盖章，也未注明姓名</w:t>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lang w:eastAsia="zh-CN"/>
        </w:rPr>
        <w:t>以上</w:t>
      </w:r>
      <w:r>
        <w:rPr>
          <w:rFonts w:hint="eastAsia" w:ascii="仿宋_GB2312" w:hAnsi="仿宋_GB2312" w:eastAsia="仿宋_GB2312" w:cs="仿宋_GB2312"/>
          <w:bCs w:val="0"/>
          <w:kern w:val="0"/>
          <w:sz w:val="32"/>
          <w:szCs w:val="32"/>
        </w:rPr>
        <w:t>事实</w:t>
      </w:r>
      <w:r>
        <w:rPr>
          <w:rFonts w:hint="eastAsia" w:ascii="仿宋_GB2312" w:hAnsi="仿宋_GB2312" w:eastAsia="仿宋_GB2312" w:cs="仿宋_GB2312"/>
          <w:bCs w:val="0"/>
          <w:kern w:val="0"/>
          <w:sz w:val="32"/>
          <w:szCs w:val="32"/>
          <w:lang w:eastAsia="zh-CN"/>
        </w:rPr>
        <w:t>，</w:t>
      </w:r>
      <w:r>
        <w:rPr>
          <w:rFonts w:hint="eastAsia" w:ascii="仿宋_GB2312" w:hAnsi="仿宋_GB2312" w:eastAsia="仿宋_GB2312" w:cs="仿宋_GB2312"/>
          <w:bCs w:val="0"/>
          <w:kern w:val="0"/>
          <w:sz w:val="32"/>
          <w:szCs w:val="32"/>
        </w:rPr>
        <w:t>有</w:t>
      </w:r>
      <w:r>
        <w:rPr>
          <w:rFonts w:hint="eastAsia" w:ascii="仿宋_GB2312" w:hAnsi="仿宋_GB2312" w:eastAsia="仿宋_GB2312" w:cs="仿宋_GB2312"/>
          <w:bCs w:val="0"/>
          <w:kern w:val="0"/>
          <w:sz w:val="32"/>
          <w:szCs w:val="32"/>
          <w:lang w:val="en-US" w:eastAsia="zh-CN"/>
        </w:rPr>
        <w:t>征求意见函</w:t>
      </w:r>
      <w:r>
        <w:rPr>
          <w:rFonts w:hint="eastAsia" w:ascii="仿宋_GB2312" w:hAnsi="仿宋_GB2312" w:eastAsia="仿宋_GB2312" w:cs="仿宋_GB2312"/>
          <w:bCs w:val="0"/>
          <w:kern w:val="0"/>
          <w:sz w:val="32"/>
          <w:szCs w:val="32"/>
          <w:lang w:eastAsia="zh-CN"/>
        </w:rPr>
        <w:t>、检查</w:t>
      </w:r>
      <w:r>
        <w:rPr>
          <w:rFonts w:hint="eastAsia" w:ascii="仿宋_GB2312" w:hAnsi="仿宋_GB2312" w:eastAsia="仿宋_GB2312" w:cs="仿宋_GB2312"/>
          <w:bCs w:val="0"/>
          <w:kern w:val="0"/>
          <w:sz w:val="32"/>
          <w:szCs w:val="32"/>
        </w:rPr>
        <w:t>工作底稿</w:t>
      </w:r>
      <w:r>
        <w:rPr>
          <w:rFonts w:hint="eastAsia" w:ascii="仿宋_GB2312" w:hAnsi="仿宋_GB2312" w:eastAsia="仿宋_GB2312" w:cs="仿宋_GB2312"/>
          <w:bCs w:val="0"/>
          <w:kern w:val="0"/>
          <w:sz w:val="32"/>
          <w:szCs w:val="32"/>
          <w:lang w:eastAsia="zh-CN"/>
        </w:rPr>
        <w:t>、询问笔录、当事人签证</w:t>
      </w:r>
      <w:r>
        <w:rPr>
          <w:rFonts w:hint="eastAsia" w:ascii="仿宋_GB2312" w:hAnsi="仿宋_GB2312" w:eastAsia="仿宋_GB2312" w:cs="仿宋_GB2312"/>
          <w:bCs w:val="0"/>
          <w:kern w:val="0"/>
          <w:sz w:val="32"/>
          <w:szCs w:val="32"/>
        </w:rPr>
        <w:t>等</w:t>
      </w:r>
      <w:r>
        <w:rPr>
          <w:rFonts w:hint="eastAsia" w:ascii="仿宋_GB2312" w:hAnsi="仿宋_GB2312" w:eastAsia="仿宋_GB2312" w:cs="仿宋_GB2312"/>
          <w:bCs w:val="0"/>
          <w:kern w:val="0"/>
          <w:sz w:val="32"/>
          <w:szCs w:val="32"/>
          <w:lang w:eastAsia="zh-CN"/>
        </w:rPr>
        <w:t>相关</w:t>
      </w:r>
      <w:r>
        <w:rPr>
          <w:rFonts w:hint="eastAsia" w:ascii="仿宋_GB2312" w:hAnsi="仿宋_GB2312" w:eastAsia="仿宋_GB2312" w:cs="仿宋_GB2312"/>
          <w:bCs w:val="0"/>
          <w:kern w:val="0"/>
          <w:sz w:val="32"/>
          <w:szCs w:val="32"/>
        </w:rPr>
        <w:t>证据</w:t>
      </w:r>
      <w:r>
        <w:rPr>
          <w:rFonts w:hint="eastAsia" w:ascii="仿宋_GB2312" w:hAnsi="仿宋_GB2312" w:eastAsia="仿宋_GB2312" w:cs="仿宋_GB2312"/>
          <w:bCs w:val="0"/>
          <w:kern w:val="0"/>
          <w:sz w:val="32"/>
          <w:szCs w:val="32"/>
          <w:lang w:eastAsia="zh-CN"/>
        </w:rPr>
        <w:t>予以证实</w:t>
      </w:r>
      <w:r>
        <w:rPr>
          <w:rFonts w:hint="eastAsia" w:ascii="仿宋_GB2312" w:hAnsi="仿宋_GB2312" w:eastAsia="仿宋_GB2312" w:cs="仿宋_GB2312"/>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56" w:lineRule="auto"/>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rPr>
        <w:t>本机关于202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日向你</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送达了《财政监督行政处罚告知书》</w:t>
      </w:r>
      <w:r>
        <w:rPr>
          <w:rFonts w:hint="eastAsia" w:ascii="仿宋_GB2312" w:hAnsi="仿宋_GB2312" w:eastAsia="仿宋_GB2312" w:cs="仿宋_GB2312"/>
          <w:sz w:val="32"/>
          <w:szCs w:val="32"/>
          <w:highlight w:val="none"/>
          <w:lang w:eastAsia="zh-CN"/>
        </w:rPr>
        <w:t>（粤财罚告〔2024〕7号），</w:t>
      </w:r>
      <w:r>
        <w:rPr>
          <w:rFonts w:hint="eastAsia" w:ascii="仿宋_GB2312" w:hAnsi="仿宋_GB2312" w:eastAsia="仿宋_GB2312" w:cs="仿宋_GB2312"/>
          <w:sz w:val="32"/>
          <w:szCs w:val="32"/>
          <w:highlight w:val="none"/>
        </w:rPr>
        <w:t>告知了违法事实、依据和拟作出的行政处罚事项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并告知享有陈述、申辩权利。</w:t>
      </w:r>
      <w:r>
        <w:rPr>
          <w:rFonts w:hint="eastAsia" w:ascii="仿宋_GB2312" w:hAnsi="仿宋_GB2312" w:eastAsia="仿宋_GB2312" w:cs="仿宋_GB2312"/>
          <w:b w:val="0"/>
          <w:bCs w:val="0"/>
          <w:sz w:val="32"/>
          <w:szCs w:val="32"/>
          <w:highlight w:val="none"/>
        </w:rPr>
        <w:t>对此</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rPr>
        <w:t>你</w:t>
      </w:r>
      <w:r>
        <w:rPr>
          <w:rFonts w:hint="eastAsia" w:ascii="仿宋_GB2312" w:hAnsi="仿宋_GB2312" w:eastAsia="仿宋_GB2312" w:cs="仿宋_GB2312"/>
          <w:b w:val="0"/>
          <w:bCs w:val="0"/>
          <w:color w:val="auto"/>
          <w:sz w:val="32"/>
          <w:szCs w:val="32"/>
          <w:highlight w:val="none"/>
          <w:lang w:eastAsia="zh-CN"/>
        </w:rPr>
        <w:t>公司未作陈述</w:t>
      </w:r>
      <w:r>
        <w:rPr>
          <w:rFonts w:hint="eastAsia" w:ascii="仿宋_GB2312" w:hAnsi="仿宋_GB2312" w:eastAsia="仿宋_GB2312" w:cs="仿宋_GB2312"/>
          <w:b w:val="0"/>
          <w:bCs w:val="0"/>
          <w:sz w:val="32"/>
          <w:szCs w:val="32"/>
          <w:highlight w:val="none"/>
          <w:lang w:val="en-US" w:eastAsia="zh-CN"/>
        </w:rPr>
        <w:t>申辩申请</w:t>
      </w:r>
      <w:r>
        <w:rPr>
          <w:rFonts w:hint="eastAsia" w:ascii="仿宋_GB2312" w:hAnsi="仿宋_GB2312" w:eastAsia="仿宋_GB2312" w:cs="仿宋_GB2312"/>
          <w:b w:val="0"/>
          <w:bCs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3" w:firstLineChars="200"/>
        <w:jc w:val="both"/>
        <w:rPr>
          <w:rFonts w:hint="eastAsia" w:ascii="仿宋_GB2312" w:hAnsi="仿宋_GB2312" w:eastAsia="仿宋_GB2312" w:cs="仿宋_GB2312"/>
          <w:b w:val="0"/>
          <w:kern w:val="0"/>
          <w:sz w:val="32"/>
          <w:szCs w:val="32"/>
        </w:rPr>
      </w:pPr>
      <w:r>
        <w:rPr>
          <w:rFonts w:hint="eastAsia" w:ascii="仿宋_GB2312" w:hAnsi="仿宋_GB2312" w:eastAsia="仿宋_GB2312" w:cs="仿宋_GB2312"/>
          <w:b/>
          <w:bCs/>
          <w:kern w:val="0"/>
          <w:sz w:val="32"/>
          <w:szCs w:val="32"/>
        </w:rPr>
        <w:t>综</w:t>
      </w:r>
      <w:r>
        <w:rPr>
          <w:rFonts w:hint="eastAsia" w:ascii="仿宋_GB2312" w:hAnsi="仿宋_GB2312" w:eastAsia="仿宋_GB2312" w:cs="仿宋_GB2312"/>
          <w:b/>
          <w:bCs/>
          <w:kern w:val="0"/>
          <w:sz w:val="32"/>
          <w:szCs w:val="32"/>
          <w:lang w:eastAsia="zh-CN"/>
        </w:rPr>
        <w:t>上，</w:t>
      </w:r>
      <w:r>
        <w:rPr>
          <w:rFonts w:hint="eastAsia" w:ascii="仿宋_GB2312" w:hAnsi="仿宋_GB2312" w:eastAsia="仿宋_GB2312" w:cs="仿宋_GB2312"/>
          <w:b/>
          <w:bCs/>
          <w:kern w:val="0"/>
          <w:sz w:val="32"/>
          <w:szCs w:val="32"/>
          <w:lang w:val="en-US" w:eastAsia="zh-CN"/>
        </w:rPr>
        <w:t>嘉永公司</w:t>
      </w:r>
      <w:r>
        <w:rPr>
          <w:rFonts w:hint="eastAsia" w:ascii="仿宋_GB2312" w:hAnsi="仿宋_GB2312" w:eastAsia="仿宋_GB2312" w:cs="仿宋_GB2312"/>
          <w:b/>
          <w:bCs/>
          <w:kern w:val="0"/>
          <w:sz w:val="32"/>
          <w:szCs w:val="32"/>
          <w:lang w:eastAsia="zh-CN"/>
        </w:rPr>
        <w:t>的上述行为违反了</w:t>
      </w:r>
      <w:r>
        <w:rPr>
          <w:rFonts w:hint="eastAsia" w:ascii="仿宋_GB2312" w:hAnsi="仿宋_GB2312" w:eastAsia="仿宋_GB2312" w:cs="仿宋_GB2312"/>
          <w:b/>
          <w:bCs/>
          <w:kern w:val="0"/>
          <w:sz w:val="32"/>
          <w:szCs w:val="32"/>
        </w:rPr>
        <w:t>《中华人民共和国会计法》（2017年修正）第九条、第十四条</w:t>
      </w:r>
      <w:r>
        <w:rPr>
          <w:rFonts w:hint="eastAsia" w:ascii="仿宋_GB2312" w:hAnsi="仿宋_GB2312" w:eastAsia="仿宋_GB2312" w:cs="仿宋_GB2312"/>
          <w:b/>
          <w:bCs/>
          <w:kern w:val="0"/>
          <w:sz w:val="32"/>
          <w:szCs w:val="32"/>
          <w:lang w:eastAsia="zh-CN"/>
        </w:rPr>
        <w:t>、第二十六条等规</w:t>
      </w:r>
      <w:r>
        <w:rPr>
          <w:rFonts w:hint="eastAsia" w:ascii="仿宋_GB2312" w:hAnsi="仿宋_GB2312" w:eastAsia="仿宋_GB2312" w:cs="仿宋_GB2312"/>
          <w:b/>
          <w:bCs/>
          <w:kern w:val="0"/>
          <w:sz w:val="32"/>
          <w:szCs w:val="32"/>
        </w:rPr>
        <w:t>定。</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0" w:firstLineChars="200"/>
        <w:jc w:val="both"/>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行政</w:t>
      </w:r>
      <w:r>
        <w:rPr>
          <w:rFonts w:hint="eastAsia" w:ascii="黑体" w:hAnsi="黑体" w:eastAsia="黑体" w:cs="黑体"/>
          <w:bCs w:val="0"/>
          <w:kern w:val="0"/>
          <w:sz w:val="32"/>
          <w:szCs w:val="32"/>
        </w:rPr>
        <w:t>处罚</w:t>
      </w:r>
      <w:r>
        <w:rPr>
          <w:rFonts w:hint="eastAsia" w:ascii="黑体" w:hAnsi="黑体" w:eastAsia="黑体" w:cs="黑体"/>
          <w:bCs w:val="0"/>
          <w:kern w:val="0"/>
          <w:sz w:val="32"/>
          <w:szCs w:val="32"/>
          <w:lang w:eastAsia="zh-CN"/>
        </w:rPr>
        <w:t>决定</w:t>
      </w:r>
    </w:p>
    <w:p>
      <w:pPr>
        <w:widowControl/>
        <w:numPr>
          <w:ilvl w:val="0"/>
          <w:numId w:val="0"/>
        </w:numPr>
        <w:snapToGrid w:val="0"/>
        <w:spacing w:line="35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b w:val="0"/>
          <w:bCs w:val="0"/>
          <w:kern w:val="0"/>
          <w:sz w:val="32"/>
          <w:szCs w:val="32"/>
          <w:lang w:val="en-US" w:eastAsia="zh-CN"/>
        </w:rPr>
        <w:t>以上</w:t>
      </w:r>
      <w:r>
        <w:rPr>
          <w:rFonts w:hint="eastAsia" w:ascii="仿宋_GB2312" w:hAnsi="仿宋_GB2312" w:eastAsia="仿宋_GB2312" w:cs="仿宋_GB2312"/>
          <w:sz w:val="32"/>
          <w:szCs w:val="32"/>
        </w:rPr>
        <w:t>事实，按</w:t>
      </w:r>
      <w:r>
        <w:rPr>
          <w:rFonts w:hint="eastAsia" w:ascii="仿宋_GB2312" w:hAnsi="仿宋_GB2312" w:eastAsia="仿宋_GB2312" w:cs="仿宋_GB2312"/>
          <w:kern w:val="0"/>
          <w:sz w:val="32"/>
          <w:szCs w:val="32"/>
          <w:highlight w:val="none"/>
        </w:rPr>
        <w:t>照《财政部门行使行政处罚裁量权指导规范》第八条第（一）项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结合</w:t>
      </w:r>
      <w:r>
        <w:rPr>
          <w:rFonts w:hint="eastAsia" w:ascii="仿宋_GB2312" w:hAnsi="仿宋_GB2312" w:eastAsia="仿宋_GB2312" w:cs="仿宋_GB2312"/>
          <w:kern w:val="0"/>
          <w:sz w:val="32"/>
          <w:szCs w:val="32"/>
          <w:highlight w:val="none"/>
          <w:lang w:eastAsia="zh-CN"/>
        </w:rPr>
        <w:t>财政</w:t>
      </w:r>
      <w:r>
        <w:rPr>
          <w:rFonts w:hint="eastAsia" w:ascii="仿宋_GB2312" w:hAnsi="仿宋_GB2312" w:eastAsia="仿宋_GB2312" w:cs="仿宋_GB2312"/>
          <w:kern w:val="0"/>
          <w:sz w:val="32"/>
          <w:szCs w:val="32"/>
          <w:highlight w:val="none"/>
        </w:rPr>
        <w:t>违法行为的事实、性质、情节和社会危害程度以及主客观因素等</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的规定，</w:t>
      </w:r>
      <w:r>
        <w:rPr>
          <w:rFonts w:hint="eastAsia" w:ascii="仿宋_GB2312" w:hAnsi="仿宋_GB2312" w:eastAsia="仿宋_GB2312" w:cs="仿宋_GB2312"/>
          <w:kern w:val="0"/>
          <w:sz w:val="32"/>
          <w:szCs w:val="32"/>
          <w:highlight w:val="none"/>
          <w:lang w:eastAsia="zh-CN"/>
        </w:rPr>
        <w:t>界定</w:t>
      </w:r>
      <w:r>
        <w:rPr>
          <w:rFonts w:hint="eastAsia" w:ascii="仿宋_GB2312" w:hAnsi="仿宋_GB2312" w:eastAsia="仿宋_GB2312" w:cs="仿宋_GB2312"/>
          <w:kern w:val="0"/>
          <w:sz w:val="32"/>
          <w:szCs w:val="32"/>
          <w:highlight w:val="none"/>
        </w:rPr>
        <w:t>违法程度属</w:t>
      </w:r>
      <w:r>
        <w:rPr>
          <w:rFonts w:hint="eastAsia" w:ascii="仿宋_GB2312" w:hAnsi="仿宋_GB2312" w:eastAsia="仿宋_GB2312" w:cs="仿宋_GB2312"/>
          <w:b/>
          <w:bCs/>
          <w:kern w:val="0"/>
          <w:sz w:val="32"/>
          <w:szCs w:val="32"/>
          <w:highlight w:val="none"/>
        </w:rPr>
        <w:t>一般</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按照</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rPr>
        <w:t>中华人民共和国会计法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2017年修正</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0"/>
          <w:sz w:val="32"/>
          <w:szCs w:val="32"/>
        </w:rPr>
        <w:t>第四十二条第（三）项</w:t>
      </w:r>
      <w:r>
        <w:rPr>
          <w:rFonts w:hint="eastAsia" w:ascii="仿宋_GB2312" w:hAnsi="仿宋_GB2312" w:eastAsia="仿宋_GB2312" w:cs="仿宋_GB2312"/>
          <w:bCs w:val="0"/>
          <w:kern w:val="0"/>
          <w:sz w:val="32"/>
          <w:szCs w:val="32"/>
          <w:highlight w:val="none"/>
        </w:rPr>
        <w:t>规定，</w:t>
      </w:r>
      <w:r>
        <w:rPr>
          <w:rFonts w:hint="eastAsia" w:ascii="仿宋_GB2312" w:hAnsi="仿宋_GB2312" w:eastAsia="仿宋_GB2312" w:cs="仿宋_GB2312"/>
          <w:kern w:val="0"/>
          <w:sz w:val="32"/>
          <w:szCs w:val="32"/>
          <w:highlight w:val="none"/>
        </w:rPr>
        <w:t>对</w:t>
      </w:r>
      <w:r>
        <w:rPr>
          <w:rFonts w:hint="eastAsia" w:ascii="仿宋_GB2312" w:hAnsi="仿宋_GB2312" w:eastAsia="仿宋_GB2312" w:cs="仿宋_GB2312"/>
          <w:b w:val="0"/>
          <w:bCs w:val="0"/>
          <w:kern w:val="0"/>
          <w:sz w:val="32"/>
          <w:szCs w:val="32"/>
          <w:lang w:val="en-US" w:eastAsia="zh-CN"/>
        </w:rPr>
        <w:t>嘉永公司</w:t>
      </w:r>
      <w:r>
        <w:rPr>
          <w:rFonts w:hint="eastAsia" w:ascii="仿宋_GB2312" w:hAnsi="仿宋_GB2312" w:eastAsia="仿宋_GB2312" w:cs="仿宋_GB2312"/>
          <w:kern w:val="0"/>
          <w:sz w:val="32"/>
          <w:szCs w:val="32"/>
          <w:lang w:val="en-US" w:eastAsia="zh-CN"/>
        </w:rPr>
        <w:t>作出</w:t>
      </w:r>
      <w:r>
        <w:rPr>
          <w:rFonts w:hint="eastAsia" w:ascii="仿宋_GB2312" w:hAnsi="仿宋_GB2312" w:eastAsia="仿宋_GB2312" w:cs="仿宋_GB2312"/>
          <w:b/>
          <w:bCs/>
          <w:kern w:val="0"/>
          <w:sz w:val="32"/>
          <w:szCs w:val="32"/>
        </w:rPr>
        <w:t>罚款3000元</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eastAsia="zh-CN"/>
        </w:rPr>
        <w:t>行政处罚</w:t>
      </w:r>
      <w:r>
        <w:rPr>
          <w:rFonts w:hint="eastAsia" w:ascii="仿宋_GB2312" w:hAnsi="仿宋_GB2312" w:eastAsia="仿宋_GB2312" w:cs="仿宋_GB2312"/>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0" w:firstLineChars="200"/>
        <w:jc w:val="both"/>
        <w:outlineLvl w:val="9"/>
        <w:rPr>
          <w:rFonts w:hint="eastAsia" w:ascii="黑体" w:hAnsi="黑体" w:eastAsia="黑体" w:cs="黑体"/>
          <w:kern w:val="0"/>
          <w:sz w:val="32"/>
          <w:szCs w:val="32"/>
        </w:rPr>
      </w:pPr>
      <w:r>
        <w:rPr>
          <w:rFonts w:hint="eastAsia" w:ascii="黑体" w:hAnsi="黑体" w:eastAsia="黑体" w:cs="黑体"/>
          <w:kern w:val="0"/>
          <w:sz w:val="32"/>
          <w:szCs w:val="32"/>
        </w:rPr>
        <w:t>三、权利告知</w:t>
      </w:r>
    </w:p>
    <w:p>
      <w:pPr>
        <w:keepNext w:val="0"/>
        <w:keepLines w:val="0"/>
        <w:pageBreakBefore w:val="0"/>
        <w:widowControl w:val="0"/>
        <w:kinsoku/>
        <w:wordWrap/>
        <w:overflowPunct/>
        <w:topLinePunct w:val="0"/>
        <w:autoSpaceDE/>
        <w:autoSpaceDN/>
        <w:bidi w:val="0"/>
        <w:adjustRightInd w:val="0"/>
        <w:snapToGrid w:val="0"/>
        <w:spacing w:line="356" w:lineRule="auto"/>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可以自收到本决定书之日起60日内向广东省人民政府申请行政复议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或者在收到本决定书之日起6个月内依法向广州铁路运输法院或广州铁路运输中级法院提起行政诉讼。</w:t>
      </w: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0" w:firstLineChars="200"/>
        <w:jc w:val="both"/>
        <w:rPr>
          <w:rFonts w:hint="eastAsia" w:ascii="仿宋_GB2312" w:hAnsi="仿宋_GB2312" w:eastAsia="仿宋_GB2312" w:cs="仿宋_GB2312"/>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356" w:lineRule="auto"/>
        <w:ind w:firstLine="640" w:firstLineChars="200"/>
        <w:jc w:val="both"/>
        <w:textAlignment w:val="auto"/>
        <w:rPr>
          <w:rFonts w:hint="eastAsia"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联系单位：广东省财政厅；</w:t>
      </w:r>
    </w:p>
    <w:p>
      <w:pPr>
        <w:snapToGrid w:val="0"/>
        <w:spacing w:line="35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val="0"/>
          <w:kern w:val="0"/>
          <w:sz w:val="32"/>
          <w:szCs w:val="32"/>
        </w:rPr>
        <w:t>联系地址：广州市北京路376号。</w:t>
      </w:r>
    </w:p>
    <w:p>
      <w:pPr>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56" w:lineRule="auto"/>
        <w:textAlignment w:val="auto"/>
        <w:outlineLvl w:val="9"/>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56" w:lineRule="auto"/>
        <w:contextualSpacing/>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356" w:lineRule="auto"/>
        <w:ind w:firstLine="5532" w:firstLineChars="1729"/>
        <w:contextualSpacing/>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广东省财政厅</w:t>
      </w:r>
    </w:p>
    <w:p>
      <w:pPr>
        <w:keepNext w:val="0"/>
        <w:keepLines w:val="0"/>
        <w:pageBreakBefore w:val="0"/>
        <w:widowControl w:val="0"/>
        <w:kinsoku/>
        <w:wordWrap/>
        <w:overflowPunct/>
        <w:topLinePunct w:val="0"/>
        <w:autoSpaceDE/>
        <w:autoSpaceDN/>
        <w:bidi w:val="0"/>
        <w:adjustRightInd/>
        <w:snapToGrid w:val="0"/>
        <w:spacing w:line="356" w:lineRule="auto"/>
        <w:contextualSpacing/>
        <w:textAlignment w:val="auto"/>
        <w:outlineLvl w:val="9"/>
        <w:rPr>
          <w:rFonts w:hint="eastAsia" w:ascii="仿宋_GB2312" w:eastAsia="仿宋_GB2312"/>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64D93"/>
    <w:rsid w:val="7636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czt</Company>
  <Pages>1</Pages>
  <Words>0</Words>
  <Characters>0</Characters>
  <Lines>0</Lines>
  <Paragraphs>0</Paragraphs>
  <TotalTime>34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2025-01-02T07:20:00Z</dcterms:created>
  <dc:creator>黄玲丽</dc:creator>
  <cp:lastModifiedBy>黄玲丽</cp:lastModifiedBy>
  <dcterms:modified xsi:type="dcterms:W3CDTF">2025-01-02T07:56:20Z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