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9C012">
      <w:pPr>
        <w:spacing w:before="462" w:beforeLines="150" w:line="360" w:lineRule="auto"/>
        <w:ind w:firstLine="157"/>
        <w:contextualSpacing/>
        <w:jc w:val="center"/>
        <w:rPr>
          <w:rFonts w:hint="eastAsia" w:ascii="仿宋_GB2312" w:hAnsi="仿宋_GB2312" w:eastAsia="仿宋_GB2312" w:cs="仿宋_GB2312"/>
          <w:color w:val="000000"/>
          <w:sz w:val="32"/>
          <w:szCs w:val="32"/>
          <w:lang w:val="en-US" w:eastAsia="zh-CN"/>
        </w:rPr>
      </w:pPr>
      <w:bookmarkStart w:id="0" w:name="文号的完整"/>
      <w:r>
        <w:rPr>
          <w:rFonts w:hint="eastAsia" w:ascii="仿宋_GB2312" w:hAnsi="仿宋_GB2312" w:eastAsia="仿宋_GB2312" w:cs="仿宋_GB2312"/>
          <w:color w:val="000000"/>
          <w:sz w:val="32"/>
          <w:szCs w:val="32"/>
          <w:lang w:val="en-US" w:eastAsia="zh-CN"/>
        </w:rPr>
        <w:t>粤财罚〔2024〕37号</w:t>
      </w:r>
      <w:bookmarkEnd w:id="0"/>
    </w:p>
    <w:p w14:paraId="46AADB89">
      <w:pPr>
        <w:spacing w:before="462" w:beforeLines="150" w:line="360" w:lineRule="auto"/>
        <w:ind w:firstLine="157"/>
        <w:contextualSpacing/>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财政监督行政处罚决定书（摘要）</w:t>
      </w:r>
      <w:bookmarkStart w:id="2" w:name="_GoBack"/>
      <w:bookmarkEnd w:id="2"/>
    </w:p>
    <w:p w14:paraId="06868D94">
      <w:pPr>
        <w:keepNext w:val="0"/>
        <w:keepLines w:val="0"/>
        <w:pageBreakBefore w:val="0"/>
        <w:widowControl w:val="0"/>
        <w:kinsoku/>
        <w:wordWrap/>
        <w:overflowPunct/>
        <w:topLinePunct w:val="0"/>
        <w:autoSpaceDE/>
        <w:autoSpaceDN/>
        <w:bidi w:val="0"/>
        <w:adjustRightInd/>
        <w:snapToGrid w:val="0"/>
        <w:spacing w:line="360" w:lineRule="auto"/>
        <w:contextualSpacing/>
        <w:textAlignment w:val="auto"/>
        <w:outlineLvl w:val="9"/>
        <w:rPr>
          <w:rFonts w:hint="eastAsia" w:ascii="仿宋_GB2312" w:hAnsi="仿宋_GB2312" w:eastAsia="仿宋_GB2312" w:cs="仿宋_GB2312"/>
          <w:b w:val="0"/>
          <w:bCs/>
          <w:sz w:val="32"/>
          <w:szCs w:val="32"/>
        </w:rPr>
      </w:pPr>
    </w:p>
    <w:p w14:paraId="54EA4CFA">
      <w:pPr>
        <w:widowControl/>
        <w:snapToGrid w:val="0"/>
        <w:spacing w:line="336" w:lineRule="auto"/>
        <w:ind w:firstLine="0" w:firstLineChars="0"/>
        <w:jc w:val="left"/>
        <w:outlineLvl w:val="9"/>
        <w:rPr>
          <w:rFonts w:hint="eastAsia" w:ascii="仿宋_GB2312" w:hAnsi="仿宋_GB2312" w:eastAsia="仿宋_GB2312" w:cs="仿宋_GB2312"/>
          <w:sz w:val="32"/>
          <w:szCs w:val="32"/>
        </w:rPr>
      </w:pPr>
      <w:bookmarkStart w:id="1" w:name="Content"/>
      <w:bookmarkEnd w:id="1"/>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当  事  人：王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丽</w:t>
      </w:r>
    </w:p>
    <w:p w14:paraId="3B5954F7">
      <w:pPr>
        <w:widowControl/>
        <w:snapToGrid w:val="0"/>
        <w:spacing w:line="336"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身份证号码：4325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z w:val="32"/>
          <w:szCs w:val="32"/>
        </w:rPr>
        <w:t>26</w:t>
      </w:r>
    </w:p>
    <w:p w14:paraId="2E558AFF">
      <w:pPr>
        <w:snapToGrid w:val="0"/>
        <w:spacing w:line="336" w:lineRule="auto"/>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地     址：广州市白云区梅宾北路</w:t>
      </w:r>
      <w:r>
        <w:rPr>
          <w:rFonts w:hint="eastAsia" w:ascii="仿宋_GB2312" w:hAnsi="仿宋_GB2312" w:eastAsia="仿宋_GB2312" w:cs="仿宋_GB2312"/>
          <w:sz w:val="32"/>
          <w:szCs w:val="32"/>
          <w:lang w:val="en-US" w:eastAsia="zh-CN"/>
        </w:rPr>
        <w:t>******</w:t>
      </w:r>
    </w:p>
    <w:p w14:paraId="452354C9">
      <w:pPr>
        <w:adjustRightInd w:val="0"/>
        <w:snapToGrid w:val="0"/>
        <w:spacing w:line="336" w:lineRule="auto"/>
        <w:ind w:firstLine="640" w:firstLineChars="200"/>
        <w:outlineLvl w:val="0"/>
        <w:rPr>
          <w:rFonts w:hint="eastAsia" w:ascii="仿宋_GB2312" w:hAnsi="仿宋_GB2312" w:eastAsia="仿宋_GB2312" w:cs="仿宋_GB2312"/>
          <w:kern w:val="0"/>
          <w:sz w:val="32"/>
          <w:szCs w:val="32"/>
        </w:rPr>
      </w:pPr>
    </w:p>
    <w:p w14:paraId="5B30E098">
      <w:pPr>
        <w:adjustRightInd w:val="0"/>
        <w:snapToGrid w:val="0"/>
        <w:spacing w:line="336" w:lineRule="auto"/>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根据《广东省财政厅关于开展2022年会计师事务所执业质量重点检查的通知》（粤财监〔2022〕42号）安排，省财政厅对广州致圣会计师事务所（普通合伙）</w:t>
      </w:r>
      <w:r>
        <w:rPr>
          <w:rFonts w:hint="eastAsia" w:ascii="仿宋_GB2312" w:hAnsi="仿宋_GB2312" w:eastAsia="仿宋_GB2312" w:cs="仿宋_GB2312"/>
          <w:sz w:val="32"/>
          <w:szCs w:val="32"/>
        </w:rPr>
        <w:t>及有关人员</w:t>
      </w:r>
      <w:r>
        <w:rPr>
          <w:rFonts w:hint="eastAsia" w:ascii="仿宋_GB2312" w:hAnsi="仿宋_GB2312" w:eastAsia="仿宋_GB2312" w:cs="仿宋_GB2312"/>
          <w:kern w:val="0"/>
          <w:sz w:val="32"/>
          <w:szCs w:val="32"/>
        </w:rPr>
        <w:t>2021年及2022年1-6月的执业质量进行检查。经依法检查，本机关认定你的违法事实及作出的行政处罚决定如下：</w:t>
      </w:r>
    </w:p>
    <w:p w14:paraId="00FA884C">
      <w:pPr>
        <w:adjustRightInd w:val="0"/>
        <w:snapToGrid w:val="0"/>
        <w:spacing w:line="336" w:lineRule="auto"/>
        <w:ind w:firstLine="640" w:firstLineChars="200"/>
        <w:outlineLvl w:val="0"/>
        <w:rPr>
          <w:rFonts w:hint="eastAsia" w:ascii="黑体" w:hAnsi="仿宋" w:eastAsia="黑体" w:cs="黑体"/>
          <w:bCs/>
          <w:sz w:val="32"/>
          <w:szCs w:val="32"/>
        </w:rPr>
      </w:pPr>
      <w:r>
        <w:rPr>
          <w:rFonts w:hint="eastAsia" w:ascii="黑体" w:hAnsi="仿宋" w:eastAsia="黑体" w:cs="黑体"/>
          <w:bCs/>
          <w:sz w:val="32"/>
          <w:szCs w:val="32"/>
        </w:rPr>
        <w:t>一、违法事实</w:t>
      </w:r>
    </w:p>
    <w:p w14:paraId="10D270A4">
      <w:pPr>
        <w:snapToGrid w:val="0"/>
        <w:spacing w:line="336"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szCs w:val="32"/>
          <w:lang w:eastAsia="zh-CN"/>
        </w:rPr>
        <w:t>经</w:t>
      </w:r>
      <w:r>
        <w:rPr>
          <w:rFonts w:hint="eastAsia" w:ascii="仿宋_GB2312" w:hAnsi="仿宋_GB2312" w:eastAsia="仿宋_GB2312" w:cs="仿宋_GB2312"/>
          <w:bCs/>
          <w:sz w:val="32"/>
          <w:szCs w:val="32"/>
        </w:rPr>
        <w:t>重点抽查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val="0"/>
          <w:bCs/>
          <w:sz w:val="32"/>
          <w:szCs w:val="32"/>
          <w:lang w:eastAsia="zh-CN"/>
        </w:rPr>
        <w:t>发现</w:t>
      </w:r>
      <w:r>
        <w:rPr>
          <w:rFonts w:hint="eastAsia" w:ascii="仿宋_GB2312" w:hAnsi="仿宋_GB2312" w:eastAsia="仿宋_GB2312" w:cs="仿宋_GB2312"/>
          <w:b w:val="0"/>
          <w:bCs/>
          <w:sz w:val="32"/>
          <w:szCs w:val="32"/>
        </w:rPr>
        <w:t>由你签字出具</w:t>
      </w:r>
      <w:r>
        <w:rPr>
          <w:rFonts w:hint="eastAsia" w:ascii="仿宋_GB2312" w:hAnsi="仿宋_GB2312" w:eastAsia="仿宋_GB2312" w:cs="仿宋_GB2312"/>
          <w:bCs/>
          <w:sz w:val="32"/>
          <w:szCs w:val="32"/>
          <w:lang w:eastAsia="zh-CN"/>
        </w:rPr>
        <w:t>的致圣审字〔2021〕第ZS0094号、致圣审字〔2021〕第ZS0592号和致圣审字〔2021〕第ZS0544号等报告</w:t>
      </w:r>
      <w:r>
        <w:rPr>
          <w:rFonts w:hint="eastAsia" w:ascii="仿宋_GB2312" w:hAnsi="仿宋_GB2312" w:eastAsia="仿宋_GB2312" w:cs="仿宋_GB2312"/>
          <w:bCs/>
          <w:sz w:val="32"/>
          <w:szCs w:val="32"/>
        </w:rPr>
        <w:t>存在</w:t>
      </w:r>
      <w:r>
        <w:rPr>
          <w:rFonts w:hint="eastAsia" w:ascii="仿宋_GB2312" w:hAnsi="仿宋_GB2312" w:eastAsia="仿宋_GB2312" w:cs="仿宋_GB2312"/>
          <w:b/>
          <w:sz w:val="32"/>
          <w:szCs w:val="32"/>
        </w:rPr>
        <w:t>在未履行必要的审计程序、未获取充分适当的审计证据的情况下出具审计报告</w:t>
      </w:r>
      <w:r>
        <w:rPr>
          <w:rFonts w:hint="eastAsia" w:ascii="仿宋_GB2312" w:hAnsi="仿宋_GB2312" w:eastAsia="仿宋_GB2312" w:cs="仿宋_GB2312"/>
          <w:b/>
          <w:bCs w:val="0"/>
          <w:sz w:val="32"/>
          <w:szCs w:val="32"/>
        </w:rPr>
        <w:t>的问题</w:t>
      </w:r>
      <w:r>
        <w:rPr>
          <w:rFonts w:hint="eastAsia" w:ascii="仿宋_GB2312" w:hAnsi="仿宋_GB2312" w:eastAsia="仿宋_GB2312" w:cs="仿宋_GB2312"/>
          <w:bCs/>
          <w:sz w:val="32"/>
          <w:szCs w:val="32"/>
        </w:rPr>
        <w:t>。</w:t>
      </w:r>
      <w:r>
        <w:rPr>
          <w:rFonts w:hint="eastAsia" w:ascii="仿宋_GB2312" w:hAnsi="仿宋_GB2312" w:eastAsia="仿宋_GB2312" w:cs="仿宋_GB2312"/>
          <w:bCs/>
          <w:kern w:val="0"/>
          <w:sz w:val="32"/>
          <w:szCs w:val="32"/>
        </w:rPr>
        <w:t>违反了《会计师事务所执业许可和监督管理办法》第六十条第（一）（七）项有关规定。</w:t>
      </w:r>
    </w:p>
    <w:p w14:paraId="79249D77">
      <w:pPr>
        <w:snapToGrid w:val="0"/>
        <w:spacing w:line="336"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本机关于2024年9月13日向你送达了《财政监督行政处罚告知书》，告知了违法事实、依据和拟作出的行政处罚事项，并告知享有陈述、申辩权利。对此，你未作陈述申辩申请。</w:t>
      </w:r>
    </w:p>
    <w:p w14:paraId="76C7BDA4">
      <w:pPr>
        <w:snapToGrid w:val="0"/>
        <w:spacing w:line="336"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根据你违法行为的事实，按照《财政部门行使行政处罚裁量权指导规范》第八条第（一）项的规定，结合违法行为的事实、性质、情节和社会危害程度以及主客观因素等，你违法行为的违法程度属</w:t>
      </w:r>
      <w:r>
        <w:rPr>
          <w:rFonts w:hint="eastAsia" w:ascii="仿宋_GB2312" w:hAnsi="仿宋_GB2312" w:eastAsia="仿宋_GB2312" w:cs="仿宋_GB2312"/>
          <w:b/>
          <w:kern w:val="0"/>
          <w:sz w:val="32"/>
          <w:szCs w:val="32"/>
        </w:rPr>
        <w:t>一般。</w:t>
      </w:r>
    </w:p>
    <w:p w14:paraId="3F7A4EAE">
      <w:pPr>
        <w:widowControl/>
        <w:adjustRightInd w:val="0"/>
        <w:snapToGrid w:val="0"/>
        <w:spacing w:line="336" w:lineRule="auto"/>
        <w:ind w:firstLine="640" w:firstLineChars="200"/>
        <w:textAlignment w:val="baseline"/>
        <w:outlineLvl w:val="0"/>
        <w:rPr>
          <w:rFonts w:hint="eastAsia" w:ascii="黑体" w:hAnsi="仿宋" w:eastAsia="黑体" w:cs="黑体"/>
          <w:bCs/>
          <w:sz w:val="32"/>
          <w:szCs w:val="32"/>
        </w:rPr>
      </w:pPr>
      <w:r>
        <w:rPr>
          <w:rFonts w:hint="eastAsia" w:ascii="黑体" w:hAnsi="仿宋" w:eastAsia="黑体" w:cs="黑体"/>
          <w:bCs/>
          <w:sz w:val="32"/>
          <w:szCs w:val="32"/>
        </w:rPr>
        <w:t>二、行政处罚决定</w:t>
      </w:r>
    </w:p>
    <w:p w14:paraId="6C99D500">
      <w:pPr>
        <w:widowControl/>
        <w:adjustRightInd w:val="0"/>
        <w:snapToGrid w:val="0"/>
        <w:spacing w:line="336" w:lineRule="auto"/>
        <w:ind w:firstLine="640" w:firstLineChars="200"/>
        <w:textAlignment w:val="baseline"/>
        <w:rPr>
          <w:rFonts w:hint="eastAsia" w:ascii="仿宋_GB2312" w:hAnsi="仿宋_GB2312" w:eastAsia="仿宋_GB2312" w:cs="仿宋_GB2312"/>
          <w:b/>
          <w:kern w:val="0"/>
          <w:sz w:val="32"/>
          <w:szCs w:val="32"/>
        </w:rPr>
      </w:pPr>
      <w:r>
        <w:rPr>
          <w:rFonts w:hint="eastAsia" w:ascii="仿宋_GB2312" w:hAnsi="仿宋_GB2312" w:eastAsia="仿宋_GB2312" w:cs="仿宋_GB2312"/>
          <w:bCs/>
          <w:kern w:val="0"/>
          <w:sz w:val="32"/>
          <w:szCs w:val="32"/>
        </w:rPr>
        <w:t>根据</w:t>
      </w:r>
      <w:r>
        <w:rPr>
          <w:rFonts w:hint="eastAsia" w:ascii="仿宋_GB2312" w:hAnsi="仿宋_GB2312" w:eastAsia="仿宋_GB2312" w:cs="仿宋_GB2312"/>
          <w:sz w:val="32"/>
          <w:szCs w:val="32"/>
          <w:lang w:val="en-US" w:eastAsia="zh-CN"/>
        </w:rPr>
        <w:t>《中华人民共和国行政处罚法》第二十八条以及</w:t>
      </w:r>
      <w:r>
        <w:rPr>
          <w:rFonts w:hint="eastAsia" w:ascii="仿宋_GB2312" w:hAnsi="仿宋_GB2312" w:eastAsia="仿宋_GB2312" w:cs="仿宋_GB2312"/>
          <w:bCs/>
          <w:kern w:val="0"/>
          <w:sz w:val="32"/>
          <w:szCs w:val="32"/>
        </w:rPr>
        <w:t>《会计师事务所执业许可和监督管理办法》第七十条第一款规定，</w:t>
      </w:r>
      <w:r>
        <w:rPr>
          <w:rFonts w:hint="eastAsia" w:ascii="仿宋_GB2312" w:hAnsi="仿宋_GB2312" w:eastAsia="仿宋_GB2312" w:cs="仿宋_GB2312"/>
          <w:sz w:val="32"/>
          <w:szCs w:val="32"/>
          <w:lang w:val="en-US" w:eastAsia="zh-CN"/>
        </w:rPr>
        <w:t>现责令你改正并</w:t>
      </w:r>
      <w:r>
        <w:rPr>
          <w:rFonts w:hint="eastAsia" w:ascii="仿宋_GB2312" w:hAnsi="仿宋_GB2312" w:eastAsia="仿宋_GB2312" w:cs="仿宋_GB2312"/>
          <w:sz w:val="32"/>
          <w:szCs w:val="32"/>
        </w:rPr>
        <w:t>决定对你处以</w:t>
      </w:r>
      <w:r>
        <w:rPr>
          <w:rFonts w:hint="eastAsia" w:ascii="仿宋_GB2312" w:hAnsi="仿宋_GB2312" w:eastAsia="仿宋_GB2312" w:cs="仿宋_GB2312"/>
          <w:b/>
          <w:bCs/>
          <w:sz w:val="32"/>
          <w:szCs w:val="32"/>
        </w:rPr>
        <w:t>警告</w:t>
      </w:r>
      <w:r>
        <w:rPr>
          <w:rFonts w:hint="eastAsia" w:ascii="仿宋_GB2312" w:hAnsi="仿宋_GB2312" w:eastAsia="仿宋_GB2312" w:cs="仿宋_GB2312"/>
          <w:sz w:val="32"/>
          <w:szCs w:val="32"/>
        </w:rPr>
        <w:t>的行政处罚</w:t>
      </w:r>
      <w:r>
        <w:rPr>
          <w:rFonts w:hint="eastAsia" w:ascii="仿宋_GB2312" w:hAnsi="仿宋_GB2312" w:eastAsia="仿宋_GB2312" w:cs="仿宋_GB2312"/>
          <w:kern w:val="0"/>
          <w:sz w:val="32"/>
          <w:szCs w:val="32"/>
        </w:rPr>
        <w:t>。</w:t>
      </w:r>
    </w:p>
    <w:p w14:paraId="775579A3">
      <w:pPr>
        <w:widowControl/>
        <w:adjustRightInd w:val="0"/>
        <w:snapToGrid w:val="0"/>
        <w:spacing w:line="336" w:lineRule="auto"/>
        <w:ind w:firstLine="640" w:firstLineChars="200"/>
        <w:textAlignment w:val="baseline"/>
        <w:outlineLvl w:val="0"/>
        <w:rPr>
          <w:rFonts w:hint="eastAsia" w:ascii="黑体" w:hAnsi="仿宋" w:eastAsia="黑体" w:cs="黑体"/>
          <w:bCs/>
          <w:sz w:val="32"/>
          <w:szCs w:val="32"/>
        </w:rPr>
      </w:pPr>
      <w:r>
        <w:rPr>
          <w:rFonts w:hint="eastAsia" w:ascii="黑体" w:hAnsi="仿宋" w:eastAsia="黑体" w:cs="黑体"/>
          <w:bCs/>
          <w:sz w:val="32"/>
          <w:szCs w:val="32"/>
        </w:rPr>
        <w:t>三、权利告知</w:t>
      </w:r>
    </w:p>
    <w:p w14:paraId="3AABF7DF">
      <w:pPr>
        <w:widowControl/>
        <w:adjustRightInd w:val="0"/>
        <w:snapToGrid w:val="0"/>
        <w:spacing w:line="336"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如对本行政处罚决定不服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可以自收到本决定书之日起60日内向广东省人民政府申请行政复议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或者在收到本决定书之日起6个月内依法向广州铁路运输法院或广州铁路运输中级法院提起行政诉讼</w:t>
      </w:r>
      <w:r>
        <w:rPr>
          <w:rFonts w:hint="eastAsia" w:ascii="仿宋_GB2312" w:hAnsi="仿宋_GB2312" w:eastAsia="仿宋_GB2312" w:cs="仿宋_GB2312"/>
          <w:sz w:val="32"/>
          <w:szCs w:val="32"/>
          <w:lang w:eastAsia="zh-CN"/>
        </w:rPr>
        <w:t>。</w:t>
      </w:r>
    </w:p>
    <w:p w14:paraId="52A6BE7B">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b w:val="0"/>
          <w:bCs/>
          <w:sz w:val="32"/>
          <w:szCs w:val="32"/>
          <w:lang w:eastAsia="zh-CN"/>
        </w:rPr>
      </w:pPr>
    </w:p>
    <w:p w14:paraId="6695376D">
      <w:pPr>
        <w:keepNext w:val="0"/>
        <w:keepLines w:val="0"/>
        <w:pageBreakBefore w:val="0"/>
        <w:widowControl w:val="0"/>
        <w:kinsoku/>
        <w:wordWrap/>
        <w:overflowPunct/>
        <w:topLinePunct w:val="0"/>
        <w:autoSpaceDE/>
        <w:autoSpaceDN/>
        <w:bidi w:val="0"/>
        <w:adjustRightInd/>
        <w:snapToGrid w:val="0"/>
        <w:spacing w:line="336" w:lineRule="auto"/>
        <w:textAlignment w:val="auto"/>
        <w:outlineLvl w:val="9"/>
        <w:rPr>
          <w:rFonts w:hint="eastAsia" w:ascii="仿宋_GB2312" w:hAnsi="仿宋_GB2312" w:eastAsia="仿宋_GB2312" w:cs="仿宋_GB2312"/>
          <w:sz w:val="32"/>
          <w:szCs w:val="32"/>
          <w:highlight w:val="none"/>
          <w:lang w:val="en-US" w:eastAsia="zh-CN"/>
        </w:rPr>
      </w:pPr>
    </w:p>
    <w:p w14:paraId="61DCBB97">
      <w:pPr>
        <w:keepNext w:val="0"/>
        <w:keepLines w:val="0"/>
        <w:pageBreakBefore w:val="0"/>
        <w:widowControl w:val="0"/>
        <w:kinsoku/>
        <w:wordWrap/>
        <w:overflowPunct/>
        <w:topLinePunct w:val="0"/>
        <w:autoSpaceDE/>
        <w:autoSpaceDN/>
        <w:bidi w:val="0"/>
        <w:adjustRightInd/>
        <w:snapToGrid w:val="0"/>
        <w:spacing w:line="336" w:lineRule="auto"/>
        <w:contextualSpacing/>
        <w:textAlignment w:val="auto"/>
        <w:outlineLvl w:val="9"/>
        <w:rPr>
          <w:rFonts w:hint="eastAsia" w:ascii="仿宋_GB2312" w:hAnsi="仿宋_GB2312" w:eastAsia="仿宋_GB2312" w:cs="仿宋_GB2312"/>
          <w:b w:val="0"/>
          <w:bCs/>
          <w:sz w:val="32"/>
          <w:szCs w:val="32"/>
        </w:rPr>
      </w:pPr>
    </w:p>
    <w:p w14:paraId="3FE7DB59">
      <w:pPr>
        <w:keepNext w:val="0"/>
        <w:keepLines w:val="0"/>
        <w:pageBreakBefore w:val="0"/>
        <w:widowControl w:val="0"/>
        <w:kinsoku/>
        <w:wordWrap/>
        <w:overflowPunct/>
        <w:topLinePunct w:val="0"/>
        <w:autoSpaceDE/>
        <w:autoSpaceDN/>
        <w:bidi w:val="0"/>
        <w:adjustRightInd/>
        <w:snapToGrid w:val="0"/>
        <w:spacing w:line="336" w:lineRule="auto"/>
        <w:ind w:firstLine="5532" w:firstLineChars="1729"/>
        <w:contextualSpacing/>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广东省财政厅</w:t>
      </w:r>
    </w:p>
    <w:p w14:paraId="3F8997C6">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20</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F75E7"/>
    <w:rsid w:val="08D55105"/>
    <w:rsid w:val="14B307DB"/>
    <w:rsid w:val="1B4F75E7"/>
    <w:rsid w:val="302960C4"/>
    <w:rsid w:val="74335733"/>
    <w:rsid w:val="7C6F7887"/>
    <w:rsid w:val="EFD7F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省财政厅</Company>
  <Pages>2</Pages>
  <Words>653</Words>
  <Characters>728</Characters>
  <Lines>0</Lines>
  <Paragraphs>0</Paragraphs>
  <TotalTime>0</TotalTime>
  <ScaleCrop>false</ScaleCrop>
  <LinksUpToDate>false</LinksUpToDate>
  <CharactersWithSpaces>774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2024-11-28T19:35:00Z</dcterms:created>
  <dc:creator>汤晨悦</dc:creator>
  <cp:lastModifiedBy>辣辣辣</cp:lastModifiedBy>
  <dcterms:modified xsi:type="dcterms:W3CDTF">2024-12-04T02:17:56Z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74C93F6D5C194D0FB53EC5F0F324A966</vt:lpwstr>
  </property>
</Properties>
</file>