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2389E">
      <w:pPr>
        <w:keepNext w:val="0"/>
        <w:keepLines w:val="0"/>
        <w:pageBreakBefore w:val="0"/>
        <w:widowControl w:val="0"/>
        <w:kinsoku/>
        <w:wordWrap/>
        <w:overflowPunct/>
        <w:topLinePunct w:val="0"/>
        <w:autoSpaceDE/>
        <w:autoSpaceDN/>
        <w:bidi w:val="0"/>
        <w:adjustRightInd/>
        <w:snapToGrid w:val="0"/>
        <w:spacing w:line="288" w:lineRule="auto"/>
        <w:contextualSpacing/>
        <w:jc w:val="center"/>
        <w:textAlignment w:val="auto"/>
        <w:outlineLvl w:val="9"/>
        <w:rPr>
          <w:rFonts w:hint="eastAsia" w:ascii="仿宋_GB2312" w:hAnsi="仿宋_GB2312" w:eastAsia="仿宋_GB2312" w:cs="仿宋_GB2312"/>
          <w:color w:val="000000"/>
          <w:sz w:val="32"/>
          <w:szCs w:val="32"/>
          <w:lang w:eastAsia="zh-CN"/>
        </w:rPr>
      </w:pPr>
      <w:bookmarkStart w:id="2" w:name="_GoBack"/>
      <w:bookmarkEnd w:id="2"/>
      <w:bookmarkStart w:id="0" w:name="文号的完整"/>
    </w:p>
    <w:p w14:paraId="5DDC7085">
      <w:pPr>
        <w:spacing w:before="462" w:beforeLines="150" w:line="360" w:lineRule="auto"/>
        <w:ind w:firstLine="157"/>
        <w:contextualSpacing/>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粤财罚〔2024〕35号</w:t>
      </w:r>
      <w:bookmarkEnd w:id="0"/>
    </w:p>
    <w:p w14:paraId="6169930F">
      <w:pPr>
        <w:spacing w:before="462" w:beforeLines="150" w:line="360" w:lineRule="auto"/>
        <w:ind w:firstLine="157"/>
        <w:contextualSpacing/>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财政监督行政处罚决定书（摘要）</w:t>
      </w:r>
    </w:p>
    <w:p w14:paraId="43FD952E">
      <w:pPr>
        <w:keepNext w:val="0"/>
        <w:keepLines w:val="0"/>
        <w:pageBreakBefore w:val="0"/>
        <w:widowControl w:val="0"/>
        <w:kinsoku/>
        <w:wordWrap/>
        <w:overflowPunct/>
        <w:topLinePunct w:val="0"/>
        <w:autoSpaceDE/>
        <w:autoSpaceDN/>
        <w:bidi w:val="0"/>
        <w:adjustRightInd/>
        <w:snapToGrid w:val="0"/>
        <w:spacing w:line="288" w:lineRule="auto"/>
        <w:contextualSpacing/>
        <w:jc w:val="center"/>
        <w:textAlignment w:val="auto"/>
        <w:outlineLvl w:val="9"/>
        <w:rPr>
          <w:rFonts w:hint="eastAsia" w:ascii="仿宋_GB2312" w:hAnsi="仿宋_GB2312" w:eastAsia="仿宋_GB2312" w:cs="仿宋_GB2312"/>
          <w:color w:val="000000"/>
          <w:sz w:val="32"/>
          <w:szCs w:val="32"/>
          <w:lang w:eastAsia="zh-CN"/>
        </w:rPr>
      </w:pPr>
    </w:p>
    <w:p w14:paraId="497FA996">
      <w:pPr>
        <w:snapToGrid w:val="0"/>
        <w:spacing w:line="336" w:lineRule="auto"/>
        <w:ind w:firstLine="0" w:firstLineChars="0"/>
        <w:rPr>
          <w:rFonts w:hint="eastAsia" w:ascii="仿宋_GB2312" w:hAnsi="仿宋_GB2312" w:eastAsia="仿宋_GB2312" w:cs="仿宋_GB2312"/>
          <w:kern w:val="0"/>
          <w:sz w:val="32"/>
          <w:szCs w:val="32"/>
        </w:rPr>
      </w:pPr>
      <w:bookmarkStart w:id="1" w:name="Content"/>
      <w:bookmarkEnd w:id="1"/>
    </w:p>
    <w:p w14:paraId="65B58873">
      <w:pPr>
        <w:snapToGrid w:val="0"/>
        <w:spacing w:line="336" w:lineRule="auto"/>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当事人：广州致圣会计师事务所（普通合伙）</w:t>
      </w:r>
    </w:p>
    <w:p w14:paraId="546B20C6">
      <w:pPr>
        <w:snapToGrid w:val="0"/>
        <w:spacing w:line="336"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统一社会信用代码：91440101MA59TG6122</w:t>
      </w:r>
    </w:p>
    <w:p w14:paraId="477B4B43">
      <w:pPr>
        <w:snapToGrid w:val="0"/>
        <w:spacing w:line="336"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址：广州市白云区京溪街广州大道北1346号金圣大厦7楼05房</w:t>
      </w:r>
    </w:p>
    <w:p w14:paraId="4727AD87">
      <w:pPr>
        <w:snapToGrid w:val="0"/>
        <w:spacing w:line="336" w:lineRule="auto"/>
        <w:ind w:firstLine="640"/>
        <w:rPr>
          <w:rFonts w:hint="eastAsia" w:ascii="仿宋_GB2312" w:hAnsi="仿宋_GB2312" w:eastAsia="仿宋_GB2312" w:cs="仿宋_GB2312"/>
          <w:kern w:val="0"/>
          <w:sz w:val="32"/>
          <w:szCs w:val="32"/>
        </w:rPr>
      </w:pPr>
    </w:p>
    <w:p w14:paraId="7E87DC0C">
      <w:pPr>
        <w:adjustRightInd w:val="0"/>
        <w:snapToGrid w:val="0"/>
        <w:spacing w:line="336" w:lineRule="auto"/>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广东省财政厅关于开展2022年会计师事务所执业质量重点检查的通知》（粤财监〔2022〕42号）安排，省财政厅对你所2021年及2022年1-6月的执业质量进行检查。经依法检查，本机关认定的违法事实及作出的行政处罚决定如下：</w:t>
      </w:r>
    </w:p>
    <w:p w14:paraId="1460E77A">
      <w:pPr>
        <w:adjustRightInd w:val="0"/>
        <w:snapToGrid w:val="0"/>
        <w:spacing w:line="336" w:lineRule="auto"/>
        <w:ind w:firstLine="640" w:firstLineChars="200"/>
        <w:outlineLvl w:val="0"/>
        <w:rPr>
          <w:rFonts w:hint="eastAsia" w:ascii="黑体" w:hAnsi="仿宋" w:eastAsia="黑体" w:cs="黑体"/>
          <w:bCs/>
          <w:sz w:val="32"/>
          <w:szCs w:val="32"/>
        </w:rPr>
      </w:pPr>
      <w:r>
        <w:rPr>
          <w:rFonts w:hint="eastAsia" w:ascii="黑体" w:hAnsi="仿宋" w:eastAsia="黑体" w:cs="黑体"/>
          <w:bCs/>
          <w:sz w:val="32"/>
          <w:szCs w:val="32"/>
        </w:rPr>
        <w:t>一、违法事实</w:t>
      </w:r>
    </w:p>
    <w:p w14:paraId="01B74834">
      <w:pPr>
        <w:snapToGrid w:val="0"/>
        <w:spacing w:line="336" w:lineRule="auto"/>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Cs/>
          <w:sz w:val="32"/>
          <w:szCs w:val="32"/>
        </w:rPr>
        <w:t>经重点抽查，发现你所出具</w:t>
      </w:r>
      <w:r>
        <w:rPr>
          <w:rFonts w:hint="eastAsia" w:ascii="仿宋_GB2312" w:hAnsi="仿宋_GB2312" w:eastAsia="仿宋_GB2312" w:cs="仿宋_GB2312"/>
          <w:bCs/>
          <w:sz w:val="32"/>
          <w:szCs w:val="32"/>
          <w:lang w:eastAsia="zh-CN"/>
        </w:rPr>
        <w:t>的致圣审字〔2021〕第ZS0094号、致圣审字〔2021〕第ZS0592号、致圣审字〔2021〕第ZS0544号、致圣审字〔2022〕第ZS0168、致圣审字〔2022〕第ZS0209号和致圣验字〔2022〕第ZS0020号等报告</w:t>
      </w:r>
      <w:r>
        <w:rPr>
          <w:rFonts w:hint="eastAsia" w:ascii="仿宋_GB2312" w:hAnsi="仿宋_GB2312" w:eastAsia="仿宋_GB2312" w:cs="仿宋_GB2312"/>
          <w:bCs/>
          <w:sz w:val="32"/>
          <w:szCs w:val="32"/>
        </w:rPr>
        <w:t>存在</w:t>
      </w:r>
      <w:r>
        <w:rPr>
          <w:rFonts w:hint="eastAsia" w:ascii="仿宋_GB2312" w:hAnsi="仿宋_GB2312" w:eastAsia="仿宋_GB2312" w:cs="仿宋_GB2312"/>
          <w:b/>
          <w:sz w:val="32"/>
          <w:szCs w:val="32"/>
        </w:rPr>
        <w:t>在未履行必要的审计程序、未获取充分适当的审计证据的情况下出具审计报告，未实施严格的逐级复核制度等</w:t>
      </w:r>
      <w:r>
        <w:rPr>
          <w:rFonts w:hint="eastAsia" w:ascii="仿宋_GB2312" w:hAnsi="仿宋_GB2312" w:eastAsia="仿宋_GB2312" w:cs="仿宋_GB2312"/>
          <w:b/>
          <w:bCs w:val="0"/>
          <w:sz w:val="32"/>
          <w:szCs w:val="32"/>
        </w:rPr>
        <w:t>问题</w:t>
      </w:r>
      <w:r>
        <w:rPr>
          <w:rFonts w:hint="eastAsia" w:ascii="仿宋_GB2312" w:hAnsi="仿宋_GB2312" w:eastAsia="仿宋_GB2312" w:cs="仿宋_GB2312"/>
          <w:bCs/>
          <w:sz w:val="32"/>
          <w:szCs w:val="32"/>
        </w:rPr>
        <w:t>。</w:t>
      </w:r>
      <w:r>
        <w:rPr>
          <w:rFonts w:hint="eastAsia" w:ascii="仿宋_GB2312" w:hAnsi="仿宋_GB2312" w:eastAsia="仿宋_GB2312" w:cs="仿宋_GB2312"/>
          <w:b w:val="0"/>
          <w:bCs/>
          <w:kern w:val="0"/>
          <w:sz w:val="32"/>
          <w:szCs w:val="32"/>
        </w:rPr>
        <w:t>违反了《会计师事务所执业许可和监督管理办法》第六十条第（一）（五）（七）项等规定。</w:t>
      </w:r>
    </w:p>
    <w:p w14:paraId="7FAA8D94">
      <w:pPr>
        <w:snapToGrid w:val="0"/>
        <w:spacing w:line="336"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本机关于2024年9月2日向你所送达了《财政监督行政处罚告知书》，告知了违法事实、依据和拟作出的行政处罚事项，并告知享有陈述和申辩的权利。对此，你所未作陈述申辩申请。</w:t>
      </w:r>
    </w:p>
    <w:p w14:paraId="38424745">
      <w:pPr>
        <w:widowControl/>
        <w:adjustRightInd w:val="0"/>
        <w:snapToGrid w:val="0"/>
        <w:spacing w:line="336" w:lineRule="auto"/>
        <w:ind w:firstLine="640"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根据你所违法行为的事实，按照《财政部门行使行政处罚裁量权指导规范》第八条第（一）项的规定，结合违法行为的事实、性质、情节和社会危害程度以及主客观因素等，你所违法行为的违法程度属</w:t>
      </w:r>
      <w:r>
        <w:rPr>
          <w:rFonts w:hint="eastAsia" w:ascii="仿宋_GB2312" w:hAnsi="仿宋_GB2312" w:eastAsia="仿宋_GB2312" w:cs="仿宋_GB2312"/>
          <w:b/>
          <w:kern w:val="0"/>
          <w:sz w:val="32"/>
          <w:szCs w:val="32"/>
        </w:rPr>
        <w:t>一般</w:t>
      </w:r>
      <w:r>
        <w:rPr>
          <w:rFonts w:hint="eastAsia" w:ascii="仿宋_GB2312" w:hAnsi="仿宋_GB2312" w:eastAsia="仿宋_GB2312" w:cs="仿宋_GB2312"/>
          <w:bCs/>
          <w:kern w:val="0"/>
          <w:sz w:val="32"/>
          <w:szCs w:val="32"/>
        </w:rPr>
        <w:t>。</w:t>
      </w:r>
    </w:p>
    <w:p w14:paraId="78A3C8B4">
      <w:pPr>
        <w:widowControl/>
        <w:adjustRightInd w:val="0"/>
        <w:snapToGrid w:val="0"/>
        <w:spacing w:line="336" w:lineRule="auto"/>
        <w:ind w:firstLine="640" w:firstLineChars="200"/>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二、行政处罚决定</w:t>
      </w:r>
    </w:p>
    <w:p w14:paraId="378873E8">
      <w:pPr>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根据</w:t>
      </w:r>
      <w:r>
        <w:rPr>
          <w:rFonts w:hint="eastAsia" w:ascii="仿宋_GB2312" w:hAnsi="仿宋_GB2312" w:eastAsia="仿宋_GB2312" w:cs="仿宋_GB2312"/>
          <w:sz w:val="32"/>
          <w:szCs w:val="32"/>
          <w:lang w:val="en-US" w:eastAsia="zh-CN"/>
        </w:rPr>
        <w:t>《中华人民共和国行政处罚法》第二十八条以及</w:t>
      </w:r>
      <w:r>
        <w:rPr>
          <w:rFonts w:hint="eastAsia" w:ascii="仿宋_GB2312" w:hAnsi="仿宋_GB2312" w:eastAsia="仿宋_GB2312" w:cs="仿宋_GB2312"/>
          <w:bCs/>
          <w:kern w:val="0"/>
          <w:sz w:val="32"/>
          <w:szCs w:val="32"/>
        </w:rPr>
        <w:t>《会计师事务所执业许可和监督管理办法》第六十七条第一款的规定，</w:t>
      </w:r>
      <w:r>
        <w:rPr>
          <w:rFonts w:hint="eastAsia" w:ascii="仿宋_GB2312" w:hAnsi="仿宋_GB2312" w:eastAsia="仿宋_GB2312" w:cs="仿宋_GB2312"/>
          <w:sz w:val="32"/>
          <w:szCs w:val="32"/>
          <w:lang w:val="en-US" w:eastAsia="zh-CN"/>
        </w:rPr>
        <w:t>现责令你所改正并</w:t>
      </w:r>
      <w:r>
        <w:rPr>
          <w:rFonts w:hint="eastAsia" w:ascii="仿宋_GB2312" w:hAnsi="仿宋_GB2312" w:eastAsia="仿宋_GB2312" w:cs="仿宋_GB2312"/>
          <w:sz w:val="32"/>
          <w:szCs w:val="32"/>
        </w:rPr>
        <w:t>决定对你</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作出如下行政处罚:</w:t>
      </w:r>
    </w:p>
    <w:p w14:paraId="40F760CD">
      <w:pPr>
        <w:widowControl/>
        <w:adjustRightInd w:val="0"/>
        <w:snapToGrid w:val="0"/>
        <w:spacing w:line="336" w:lineRule="auto"/>
        <w:ind w:firstLine="643" w:firstLineChars="200"/>
        <w:textAlignment w:val="baselin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（一）警告；</w:t>
      </w:r>
    </w:p>
    <w:p w14:paraId="25F92C76">
      <w:pPr>
        <w:widowControl/>
        <w:adjustRightInd w:val="0"/>
        <w:snapToGrid w:val="0"/>
        <w:spacing w:line="336" w:lineRule="auto"/>
        <w:ind w:firstLine="643" w:firstLineChars="200"/>
        <w:textAlignment w:val="baseline"/>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kern w:val="0"/>
          <w:sz w:val="32"/>
          <w:szCs w:val="32"/>
        </w:rPr>
        <w:t>没收</w:t>
      </w:r>
      <w:r>
        <w:rPr>
          <w:rFonts w:hint="eastAsia" w:ascii="仿宋_GB2312" w:hAnsi="仿宋_GB2312" w:eastAsia="仿宋_GB2312" w:cs="仿宋_GB2312"/>
          <w:b/>
          <w:bCs w:val="0"/>
          <w:kern w:val="0"/>
          <w:sz w:val="32"/>
          <w:szCs w:val="32"/>
        </w:rPr>
        <w:t>出具</w:t>
      </w:r>
      <w:r>
        <w:rPr>
          <w:rFonts w:hint="eastAsia" w:ascii="仿宋_GB2312" w:hAnsi="仿宋_GB2312" w:eastAsia="仿宋_GB2312" w:cs="仿宋_GB2312"/>
          <w:b/>
          <w:bCs w:val="0"/>
          <w:sz w:val="32"/>
          <w:szCs w:val="32"/>
        </w:rPr>
        <w:t>上述3个报告（报告1、2、3）</w:t>
      </w:r>
      <w:r>
        <w:rPr>
          <w:rFonts w:hint="eastAsia" w:ascii="仿宋_GB2312" w:hAnsi="仿宋_GB2312" w:eastAsia="仿宋_GB2312" w:cs="仿宋_GB2312"/>
          <w:b/>
          <w:bCs w:val="0"/>
          <w:kern w:val="0"/>
          <w:sz w:val="32"/>
          <w:szCs w:val="32"/>
        </w:rPr>
        <w:t>违法所得，共计50,122元。</w:t>
      </w:r>
    </w:p>
    <w:p w14:paraId="3EF4D574">
      <w:pPr>
        <w:widowControl/>
        <w:adjustRightInd w:val="0"/>
        <w:snapToGrid w:val="0"/>
        <w:spacing w:line="336" w:lineRule="auto"/>
        <w:ind w:firstLine="640"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你所自收到本行政处罚决定书之日起十五日内，按照本行政处罚决定书所附《广东省非税收入一般缴款书（电子）》缴款。</w:t>
      </w:r>
    </w:p>
    <w:p w14:paraId="220E05A1">
      <w:pPr>
        <w:widowControl/>
        <w:adjustRightInd w:val="0"/>
        <w:snapToGrid w:val="0"/>
        <w:spacing w:line="336" w:lineRule="auto"/>
        <w:ind w:firstLine="640" w:firstLineChars="200"/>
        <w:textAlignment w:val="baseline"/>
        <w:outlineLvl w:val="0"/>
        <w:rPr>
          <w:rFonts w:hint="eastAsia" w:ascii="黑体" w:hAnsi="仿宋" w:eastAsia="黑体" w:cs="黑体"/>
          <w:bCs/>
          <w:sz w:val="32"/>
          <w:szCs w:val="32"/>
        </w:rPr>
      </w:pPr>
      <w:r>
        <w:rPr>
          <w:rFonts w:hint="eastAsia" w:ascii="黑体" w:hAnsi="仿宋" w:eastAsia="黑体" w:cs="黑体"/>
          <w:bCs/>
          <w:sz w:val="32"/>
          <w:szCs w:val="32"/>
        </w:rPr>
        <w:t>三、权利告知</w:t>
      </w:r>
    </w:p>
    <w:p w14:paraId="0E3A5402">
      <w:pPr>
        <w:widowControl/>
        <w:adjustRightInd w:val="0"/>
        <w:snapToGrid w:val="0"/>
        <w:spacing w:line="336"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可以自收到本决定书之日起60日内向广东省人民政府申请行政复议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或者在收到本决定书之日起6个月内依法向广州铁路运输法院或广州铁路运输中级法院提起行政诉讼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逾期不申请行政复议，也不提起行政诉讼，又不履行本处罚决定的，本机关将依法申请人民法院强制执行。</w:t>
      </w:r>
    </w:p>
    <w:p w14:paraId="6A83DA65">
      <w:pPr>
        <w:widowControl/>
        <w:adjustRightInd w:val="0"/>
        <w:snapToGrid w:val="0"/>
        <w:spacing w:line="336" w:lineRule="auto"/>
        <w:ind w:firstLine="640" w:firstLineChars="200"/>
        <w:textAlignment w:val="baseline"/>
        <w:rPr>
          <w:rFonts w:hint="eastAsia" w:ascii="仿宋_GB2312" w:hAnsi="仿宋_GB2312" w:eastAsia="仿宋_GB2312" w:cs="仿宋_GB2312"/>
          <w:sz w:val="32"/>
          <w:szCs w:val="32"/>
        </w:rPr>
      </w:pPr>
    </w:p>
    <w:p w14:paraId="5B9C67CB">
      <w:pPr>
        <w:snapToGrid w:val="0"/>
        <w:spacing w:line="336" w:lineRule="auto"/>
        <w:contextualSpacing/>
        <w:rPr>
          <w:rFonts w:hint="eastAsia" w:ascii="仿宋_GB2312" w:hAnsi="仿宋_GB2312" w:eastAsia="仿宋_GB2312" w:cs="仿宋_GB2312"/>
          <w:sz w:val="32"/>
          <w:szCs w:val="32"/>
        </w:rPr>
      </w:pPr>
    </w:p>
    <w:p w14:paraId="247072AC">
      <w:pPr>
        <w:keepNext w:val="0"/>
        <w:keepLines w:val="0"/>
        <w:pageBreakBefore w:val="0"/>
        <w:widowControl w:val="0"/>
        <w:kinsoku/>
        <w:wordWrap/>
        <w:overflowPunct/>
        <w:topLinePunct w:val="0"/>
        <w:autoSpaceDE/>
        <w:autoSpaceDN/>
        <w:bidi w:val="0"/>
        <w:adjustRightInd/>
        <w:snapToGrid w:val="0"/>
        <w:spacing w:line="336" w:lineRule="auto"/>
        <w:textAlignment w:val="auto"/>
        <w:outlineLvl w:val="9"/>
        <w:rPr>
          <w:rFonts w:hint="eastAsia" w:ascii="仿宋_GB2312" w:hAnsi="仿宋_GB2312" w:eastAsia="仿宋_GB2312" w:cs="仿宋_GB2312"/>
          <w:sz w:val="32"/>
          <w:szCs w:val="32"/>
          <w:highlight w:val="none"/>
          <w:lang w:val="en-US" w:eastAsia="zh-CN"/>
        </w:rPr>
      </w:pPr>
    </w:p>
    <w:p w14:paraId="3AAFBAAD">
      <w:pPr>
        <w:keepNext w:val="0"/>
        <w:keepLines w:val="0"/>
        <w:pageBreakBefore w:val="0"/>
        <w:widowControl w:val="0"/>
        <w:kinsoku/>
        <w:wordWrap/>
        <w:overflowPunct/>
        <w:topLinePunct w:val="0"/>
        <w:autoSpaceDE/>
        <w:autoSpaceDN/>
        <w:bidi w:val="0"/>
        <w:adjustRightInd/>
        <w:snapToGrid w:val="0"/>
        <w:spacing w:line="336" w:lineRule="auto"/>
        <w:contextualSpacing/>
        <w:textAlignment w:val="auto"/>
        <w:outlineLvl w:val="9"/>
        <w:rPr>
          <w:rFonts w:hint="eastAsia" w:ascii="仿宋_GB2312" w:hAnsi="仿宋_GB2312" w:eastAsia="仿宋_GB2312" w:cs="仿宋_GB2312"/>
          <w:b w:val="0"/>
          <w:bCs/>
          <w:sz w:val="32"/>
          <w:szCs w:val="32"/>
        </w:rPr>
      </w:pPr>
    </w:p>
    <w:p w14:paraId="1160B7C7">
      <w:pPr>
        <w:keepNext w:val="0"/>
        <w:keepLines w:val="0"/>
        <w:pageBreakBefore w:val="0"/>
        <w:widowControl w:val="0"/>
        <w:kinsoku/>
        <w:wordWrap/>
        <w:overflowPunct/>
        <w:topLinePunct w:val="0"/>
        <w:autoSpaceDE/>
        <w:autoSpaceDN/>
        <w:bidi w:val="0"/>
        <w:adjustRightInd/>
        <w:snapToGrid w:val="0"/>
        <w:spacing w:line="336" w:lineRule="auto"/>
        <w:ind w:firstLine="5532" w:firstLineChars="1729"/>
        <w:contextualSpacing/>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广东省财政厅</w:t>
      </w:r>
    </w:p>
    <w:p w14:paraId="60EAF3C5">
      <w:pPr>
        <w:keepNext w:val="0"/>
        <w:keepLines w:val="0"/>
        <w:pageBreakBefore w:val="0"/>
        <w:widowControl w:val="0"/>
        <w:kinsoku/>
        <w:wordWrap/>
        <w:overflowPunct/>
        <w:topLinePunct w:val="0"/>
        <w:autoSpaceDE/>
        <w:autoSpaceDN/>
        <w:bidi w:val="0"/>
        <w:adjustRightInd/>
        <w:snapToGrid w:val="0"/>
        <w:spacing w:line="336" w:lineRule="auto"/>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日</w:t>
      </w:r>
    </w:p>
    <w:p w14:paraId="4779F0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4915"/>
    <w:rsid w:val="145E4915"/>
    <w:rsid w:val="23A849B9"/>
    <w:rsid w:val="3641017C"/>
    <w:rsid w:val="43532229"/>
    <w:rsid w:val="4E53210E"/>
    <w:rsid w:val="51F73589"/>
    <w:rsid w:val="71083F82"/>
    <w:rsid w:val="DE6F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省财政厅</Company>
  <Pages>3</Pages>
  <Words>854</Words>
  <Characters>956</Characters>
  <Lines>0</Lines>
  <Paragraphs>0</Paragraphs>
  <TotalTime>0</TotalTime>
  <ScaleCrop>false</ScaleCrop>
  <LinksUpToDate>false</LinksUpToDate>
  <CharactersWithSpaces>995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2024-11-28T19:28:00Z</dcterms:created>
  <dc:creator>汤晨悦</dc:creator>
  <cp:lastModifiedBy>辣辣辣</cp:lastModifiedBy>
  <dcterms:modified xsi:type="dcterms:W3CDTF">2024-12-04T02:17:54Z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62700D349CA44E1794CA9753379E7A5C</vt:lpwstr>
  </property>
</Properties>
</file>