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4</w:t>
      </w:r>
      <w:bookmarkStart w:id="0" w:name="_GoBack"/>
      <w:bookmarkEnd w:id="0"/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财政科研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40"/>
        <w:gridCol w:w="3015"/>
        <w:gridCol w:w="360"/>
        <w:gridCol w:w="810"/>
        <w:gridCol w:w="817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  <w:t>课题题目</w:t>
            </w:r>
          </w:p>
        </w:tc>
        <w:tc>
          <w:tcPr>
            <w:tcW w:w="46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  <w:t>课题编号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  <w:t>一级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</w:rPr>
              <w:t>指标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</w:rPr>
              <w:t>指标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  <w:t>指标说明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  <w:t>三级指标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val="en-US" w:eastAsia="zh-CN"/>
              </w:rPr>
              <w:t>*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no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调研扎实度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广度（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调研覆盖面是否广泛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深度（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调研是否深入基层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精度（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调研对象是否具有代表性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对策启发度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创新性（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研究报告查重情况，对策建议是否具有新意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有效性（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对策建议是否具有可行性；如省财政厅业务处室有提出反馈意见，是否有效采纳并完善研究报告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参考性（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对策建议能否转化为工作措施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课题成熟度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逻辑性（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研究报告是否论证充分、逻辑自洽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规范性（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375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研究报告是否合乎体例，文字表述是否规范准确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  <w:t>加分项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  <w:t>（≦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664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  <w:t>课题研究成果公开发表情况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64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  <w:t>获得省领导批示情况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1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lang w:eastAsia="zh-CN"/>
              </w:rPr>
              <w:t>总分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0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u w:val="none"/>
                <w:lang w:eastAsia="zh-CN"/>
              </w:rPr>
              <w:t>请注意检查课题组是否提供了查重报告，如无此项不予通过结项验收。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评审意见</w:t>
            </w:r>
          </w:p>
        </w:tc>
        <w:tc>
          <w:tcPr>
            <w:tcW w:w="7632" w:type="dxa"/>
            <w:gridSpan w:val="6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（总体评价、是否建议通过结项验收）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评审专家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签字：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日期：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年   月   日</w:t>
            </w:r>
          </w:p>
        </w:tc>
      </w:tr>
    </w:tbl>
    <w:p>
      <w:r>
        <w:rPr>
          <w:rFonts w:hint="eastAsia" w:ascii="仿宋_GB2312" w:hAnsi="Calibri" w:eastAsia="仿宋_GB2312" w:cs="Times New Roman"/>
          <w:sz w:val="21"/>
          <w:szCs w:val="21"/>
          <w:u w:val="none"/>
          <w:lang w:val="en-US" w:eastAsia="zh-CN"/>
        </w:rPr>
        <w:t>*注：三级指标根据年度课题管理工作优化完善。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B2DBF"/>
    <w:rsid w:val="64EB2DBF"/>
    <w:rsid w:val="70B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2023-04-23T09:23:00Z</dcterms:created>
  <dc:creator>郑德琳</dc:creator>
  <cp:lastModifiedBy>郑德琳</cp:lastModifiedBy>
  <dcterms:modified xsi:type="dcterms:W3CDTF">2023-04-23T09:24:27Z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