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560" w:lineRule="exact"/>
        <w:ind w:left="822"/>
        <w:jc w:val="center"/>
        <w:rPr>
          <w:rFonts w:ascii="方正小标宋简体" w:hAnsi="方正小标宋简体" w:eastAsia="方正小标宋简体"/>
          <w:b w:val="0"/>
          <w:bCs w:val="0"/>
          <w:color w:val="auto"/>
          <w:sz w:val="36"/>
          <w:szCs w:val="36"/>
        </w:rPr>
      </w:pPr>
      <w:bookmarkStart w:id="0" w:name="_Toc117780847"/>
      <w:bookmarkStart w:id="1" w:name="_Toc115334035"/>
      <w:bookmarkStart w:id="2" w:name="_Toc116119646"/>
      <w:bookmarkStart w:id="3" w:name="_Toc106798292"/>
      <w:bookmarkStart w:id="4" w:name="_Toc106784289"/>
      <w:bookmarkStart w:id="5" w:name="_Toc106830124"/>
      <w:bookmarkStart w:id="6" w:name="_Toc106809904"/>
      <w:bookmarkStart w:id="7" w:name="_Toc106799248"/>
      <w:bookmarkStart w:id="8" w:name="_Toc106798001"/>
      <w:bookmarkStart w:id="9" w:name="_Toc106799331"/>
      <w:bookmarkStart w:id="10" w:name="_Toc106783578"/>
      <w:bookmarkStart w:id="11" w:name="_Toc106784251"/>
      <w:bookmarkStart w:id="12" w:name="_Toc106784661"/>
      <w:bookmarkStart w:id="13" w:name="_Toc106830314"/>
      <w:bookmarkStart w:id="14" w:name="_Toc106889914"/>
      <w:bookmarkStart w:id="15" w:name="_Toc106799289"/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36"/>
          <w:szCs w:val="36"/>
        </w:rPr>
        <w:t>广东省促进经济高质量发展专项资金（金融发展）</w:t>
      </w:r>
      <w:bookmarkEnd w:id="0"/>
      <w:bookmarkEnd w:id="1"/>
      <w:bookmarkEnd w:id="2"/>
    </w:p>
    <w:p>
      <w:pPr>
        <w:pStyle w:val="3"/>
        <w:spacing w:before="0" w:after="0" w:line="560" w:lineRule="exact"/>
        <w:ind w:left="822"/>
        <w:jc w:val="center"/>
        <w:rPr>
          <w:rFonts w:ascii="方正小标宋简体" w:hAnsi="方正小标宋简体" w:eastAsia="方正小标宋简体"/>
          <w:b w:val="0"/>
          <w:bCs w:val="0"/>
          <w:color w:val="auto"/>
          <w:sz w:val="36"/>
          <w:szCs w:val="36"/>
        </w:rPr>
      </w:pPr>
      <w:bookmarkStart w:id="16" w:name="_Toc115334036"/>
      <w:bookmarkStart w:id="17" w:name="_Toc117780848"/>
      <w:bookmarkStart w:id="18" w:name="_Toc116119647"/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36"/>
          <w:szCs w:val="36"/>
        </w:rPr>
        <w:t>绩效目标</w:t>
      </w:r>
      <w:bookmarkStart w:id="19" w:name="_GoBack"/>
      <w:bookmarkEnd w:id="19"/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36"/>
          <w:szCs w:val="36"/>
        </w:rPr>
        <w:t>表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tbl>
      <w:tblPr>
        <w:tblStyle w:val="4"/>
        <w:tblW w:w="90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1716"/>
        <w:gridCol w:w="1828"/>
        <w:gridCol w:w="1701"/>
        <w:gridCol w:w="25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071" w:type="dxa"/>
            <w:gridSpan w:val="5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color w:val="auto"/>
                <w:sz w:val="36"/>
                <w:szCs w:val="36"/>
              </w:rPr>
            </w:pPr>
            <w:r>
              <w:rPr>
                <w:rFonts w:hint="eastAsia" w:ascii="楷体_GB2312" w:eastAsia="楷体_GB2312"/>
                <w:bCs/>
                <w:color w:val="auto"/>
                <w:sz w:val="30"/>
                <w:szCs w:val="30"/>
              </w:rPr>
              <w:t>（2023</w:t>
            </w:r>
            <w:r>
              <w:rPr>
                <w:rFonts w:ascii="楷体_GB2312" w:eastAsia="楷体_GB2312"/>
                <w:bCs/>
                <w:color w:val="auto"/>
                <w:sz w:val="30"/>
                <w:szCs w:val="30"/>
              </w:rPr>
              <w:t>年</w:t>
            </w:r>
            <w:r>
              <w:rPr>
                <w:rFonts w:hint="eastAsia" w:ascii="楷体_GB2312" w:eastAsia="楷体_GB2312"/>
                <w:bCs/>
                <w:color w:val="auto"/>
                <w:sz w:val="30"/>
                <w:szCs w:val="30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7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广州市地方金融监督管理局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实施单位</w:t>
            </w:r>
          </w:p>
        </w:tc>
        <w:tc>
          <w:tcPr>
            <w:tcW w:w="7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广州广电运通金融电子股份有限公司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申报金额</w:t>
            </w:r>
          </w:p>
        </w:tc>
        <w:tc>
          <w:tcPr>
            <w:tcW w:w="7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  <w:r>
              <w:rPr>
                <w:rFonts w:hint="eastAsia"/>
                <w:bCs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bCs/>
                <w:color w:val="auto"/>
                <w:sz w:val="28"/>
                <w:szCs w:val="28"/>
              </w:rPr>
              <w:t>0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年度目标</w:t>
            </w:r>
          </w:p>
        </w:tc>
        <w:tc>
          <w:tcPr>
            <w:tcW w:w="7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="仿宋_GB2312" w:hAnsi="楷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楷体"/>
                <w:color w:val="auto"/>
                <w:sz w:val="28"/>
                <w:szCs w:val="28"/>
              </w:rPr>
              <w:t>落地实施指标。</w:t>
            </w:r>
          </w:p>
          <w:p>
            <w:pPr>
              <w:pStyle w:val="6"/>
              <w:spacing w:line="480" w:lineRule="exact"/>
              <w:ind w:firstLine="478" w:firstLineChars="171"/>
              <w:rPr>
                <w:rFonts w:ascii="仿宋_GB2312" w:hAnsi="楷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楷体"/>
                <w:color w:val="auto"/>
                <w:sz w:val="28"/>
                <w:szCs w:val="28"/>
              </w:rPr>
              <w:t>依托广东数字金融创新产业园（“一园”）和广州地方金融数字化基础设施平台（“一台”），以实验室（“一室”）为研发基础设施，研发部署数字人民币智能合约系统，支持预付费监管等功能，至少对接</w:t>
            </w:r>
            <w:r>
              <w:rPr>
                <w:rFonts w:ascii="仿宋_GB2312" w:hAnsi="楷体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楷体"/>
                <w:color w:val="auto"/>
                <w:sz w:val="28"/>
                <w:szCs w:val="28"/>
              </w:rPr>
              <w:t>家银行，</w:t>
            </w:r>
            <w:r>
              <w:rPr>
                <w:rFonts w:ascii="仿宋_GB2312" w:hAnsi="楷体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_GB2312" w:hAnsi="楷体"/>
                <w:color w:val="auto"/>
                <w:sz w:val="28"/>
                <w:szCs w:val="28"/>
              </w:rPr>
              <w:t>个场景落地，接入</w:t>
            </w:r>
            <w:r>
              <w:rPr>
                <w:rFonts w:ascii="仿宋_GB2312" w:hAnsi="楷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楷体"/>
                <w:color w:val="auto"/>
                <w:sz w:val="28"/>
                <w:szCs w:val="28"/>
              </w:rPr>
              <w:t>家中小微实体商户，支持智能合约调用次数不少于1万次，提升对应的消费，并形成可复制的场景经验。</w:t>
            </w:r>
          </w:p>
          <w:p>
            <w:pPr>
              <w:pStyle w:val="6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="仿宋_GB2312" w:hAnsi="楷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楷体"/>
                <w:color w:val="auto"/>
                <w:sz w:val="28"/>
                <w:szCs w:val="28"/>
              </w:rPr>
              <w:t>费用支出指标。</w:t>
            </w:r>
          </w:p>
          <w:p>
            <w:pPr>
              <w:pStyle w:val="6"/>
              <w:spacing w:line="480" w:lineRule="exact"/>
              <w:ind w:firstLine="478" w:firstLineChars="171"/>
              <w:rPr>
                <w:rFonts w:ascii="仿宋_GB2312" w:hAnsi="楷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楷体"/>
                <w:color w:val="auto"/>
                <w:sz w:val="28"/>
                <w:szCs w:val="28"/>
              </w:rPr>
              <w:t>2023年6月前完成费用总支出的50%，2023年9月前完成费用总支出的75%，2023年12月前完成费用总支出的100%。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阶段目标</w:t>
            </w:r>
          </w:p>
          <w:p>
            <w:pPr>
              <w:pStyle w:val="6"/>
              <w:spacing w:line="300" w:lineRule="exact"/>
              <w:ind w:firstLine="0" w:firstLineChars="0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（6月底前）</w:t>
            </w:r>
          </w:p>
        </w:tc>
        <w:tc>
          <w:tcPr>
            <w:tcW w:w="7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spacing w:line="480" w:lineRule="exact"/>
              <w:ind w:firstLineChars="0"/>
              <w:rPr>
                <w:rFonts w:ascii="仿宋_GB2312" w:hAnsi="楷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楷体"/>
                <w:color w:val="auto"/>
                <w:sz w:val="28"/>
                <w:szCs w:val="28"/>
              </w:rPr>
              <w:t>落地实施指标。</w:t>
            </w:r>
          </w:p>
          <w:p>
            <w:pPr>
              <w:pStyle w:val="6"/>
              <w:spacing w:line="480" w:lineRule="exact"/>
              <w:ind w:firstLine="478" w:firstLineChars="171"/>
              <w:rPr>
                <w:rFonts w:ascii="仿宋_GB2312" w:hAnsi="楷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楷体"/>
                <w:color w:val="auto"/>
                <w:sz w:val="28"/>
                <w:szCs w:val="28"/>
              </w:rPr>
              <w:t>研发部署数字人民币智能合约系统，支持预付费监管等功能，至少对接</w:t>
            </w:r>
            <w:r>
              <w:rPr>
                <w:rFonts w:ascii="仿宋_GB2312" w:hAnsi="楷体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楷体"/>
                <w:color w:val="auto"/>
                <w:sz w:val="28"/>
                <w:szCs w:val="28"/>
              </w:rPr>
              <w:t>家银行，</w:t>
            </w:r>
            <w:r>
              <w:rPr>
                <w:rFonts w:ascii="仿宋_GB2312" w:hAnsi="楷体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楷体"/>
                <w:color w:val="auto"/>
                <w:sz w:val="28"/>
                <w:szCs w:val="28"/>
              </w:rPr>
              <w:t>个场景落地，接入1家中小微实体商户，支持智能合约调用次数不少于</w:t>
            </w:r>
            <w:r>
              <w:rPr>
                <w:rFonts w:ascii="仿宋_GB2312" w:hAnsi="楷体"/>
                <w:color w:val="auto"/>
                <w:sz w:val="28"/>
                <w:szCs w:val="28"/>
              </w:rPr>
              <w:t>4</w:t>
            </w:r>
            <w:r>
              <w:rPr>
                <w:rFonts w:hint="eastAsia" w:ascii="仿宋_GB2312" w:hAnsi="楷体"/>
                <w:color w:val="auto"/>
                <w:sz w:val="28"/>
                <w:szCs w:val="28"/>
              </w:rPr>
              <w:t>0</w:t>
            </w:r>
            <w:r>
              <w:rPr>
                <w:rFonts w:ascii="仿宋_GB2312" w:hAnsi="楷体"/>
                <w:color w:val="auto"/>
                <w:sz w:val="28"/>
                <w:szCs w:val="28"/>
              </w:rPr>
              <w:t>00</w:t>
            </w:r>
            <w:r>
              <w:rPr>
                <w:rFonts w:hint="eastAsia" w:ascii="仿宋_GB2312" w:hAnsi="楷体"/>
                <w:color w:val="auto"/>
                <w:sz w:val="28"/>
                <w:szCs w:val="28"/>
              </w:rPr>
              <w:t>次。</w:t>
            </w:r>
          </w:p>
          <w:p>
            <w:pPr>
              <w:pStyle w:val="6"/>
              <w:numPr>
                <w:ilvl w:val="0"/>
                <w:numId w:val="2"/>
              </w:numPr>
              <w:spacing w:line="480" w:lineRule="exact"/>
              <w:ind w:firstLineChars="0"/>
              <w:rPr>
                <w:rFonts w:ascii="仿宋_GB2312" w:hAnsi="楷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楷体"/>
                <w:color w:val="auto"/>
                <w:sz w:val="28"/>
                <w:szCs w:val="28"/>
              </w:rPr>
              <w:t>费用支出指标。</w:t>
            </w:r>
          </w:p>
          <w:p>
            <w:pPr>
              <w:pStyle w:val="6"/>
              <w:spacing w:line="480" w:lineRule="exact"/>
              <w:ind w:firstLine="478" w:firstLineChars="171"/>
              <w:rPr>
                <w:rFonts w:ascii="仿宋_GB2312" w:hAnsi="楷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楷体"/>
                <w:color w:val="auto"/>
                <w:sz w:val="28"/>
                <w:szCs w:val="28"/>
              </w:rPr>
              <w:t>2023年6月前完成费用总支出的50%。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目标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指标内容及口径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阶段目标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年度目标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产出</w:t>
            </w:r>
          </w:p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数量指标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auto"/>
                <w:sz w:val="28"/>
                <w:szCs w:val="28"/>
              </w:rPr>
              <w:t>线上线下场景落地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auto"/>
                <w:sz w:val="28"/>
                <w:szCs w:val="28"/>
              </w:rPr>
              <w:t>1个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ascii="楷体_GB2312" w:hAnsi="楷体" w:eastAsia="楷体_GB2312"/>
                <w:color w:val="auto"/>
                <w:sz w:val="28"/>
                <w:szCs w:val="28"/>
              </w:rPr>
              <w:t>3</w:t>
            </w:r>
            <w:r>
              <w:rPr>
                <w:rFonts w:hint="eastAsia" w:ascii="楷体_GB2312" w:hAnsi="楷体" w:eastAsia="楷体_GB2312"/>
                <w:color w:val="auto"/>
                <w:sz w:val="28"/>
                <w:szCs w:val="28"/>
              </w:rPr>
              <w:t>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ascii="楷体_GB2312" w:hAnsi="楷体" w:eastAsia="楷体_GB2312"/>
                <w:color w:val="auto"/>
                <w:sz w:val="28"/>
                <w:szCs w:val="28"/>
              </w:rPr>
              <w:t>对接银行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auto"/>
                <w:sz w:val="28"/>
                <w:szCs w:val="28"/>
              </w:rPr>
              <w:t>1家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ascii="楷体_GB2312" w:hAnsi="楷体" w:eastAsia="楷体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楷体_GB2312" w:hAnsi="楷体" w:eastAsia="楷体_GB2312"/>
                <w:color w:val="auto"/>
                <w:sz w:val="28"/>
                <w:szCs w:val="28"/>
              </w:rPr>
              <w:t>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质量指标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auto"/>
                <w:sz w:val="28"/>
                <w:szCs w:val="28"/>
              </w:rPr>
              <w:t>智能合约调用次数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auto"/>
                <w:sz w:val="28"/>
                <w:szCs w:val="28"/>
              </w:rPr>
              <w:t>4</w:t>
            </w:r>
            <w:r>
              <w:rPr>
                <w:rFonts w:ascii="楷体_GB2312" w:hAnsi="楷体" w:eastAsia="楷体_GB2312"/>
                <w:color w:val="auto"/>
                <w:sz w:val="28"/>
                <w:szCs w:val="28"/>
              </w:rPr>
              <w:t>000</w:t>
            </w:r>
            <w:r>
              <w:rPr>
                <w:rFonts w:hint="eastAsia" w:ascii="楷体_GB2312" w:hAnsi="楷体" w:eastAsia="楷体_GB2312"/>
                <w:color w:val="auto"/>
                <w:sz w:val="28"/>
                <w:szCs w:val="28"/>
              </w:rPr>
              <w:t>次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auto"/>
                <w:sz w:val="28"/>
                <w:szCs w:val="28"/>
              </w:rPr>
              <w:t>1万次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时效指标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/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198" w:firstLineChars="71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成本指标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成本控制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198" w:firstLineChars="71"/>
              <w:jc w:val="left"/>
              <w:rPr>
                <w:bCs/>
                <w:color w:val="auto"/>
                <w:sz w:val="28"/>
                <w:szCs w:val="28"/>
              </w:rPr>
            </w:pPr>
            <w:r>
              <w:rPr>
                <w:rFonts w:ascii="楷体" w:hAnsi="楷体" w:eastAsia="楷体"/>
                <w:color w:val="auto"/>
                <w:sz w:val="28"/>
                <w:szCs w:val="28"/>
              </w:rPr>
              <w:t>完成费用总支出的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5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%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198" w:firstLineChars="71"/>
              <w:jc w:val="left"/>
              <w:rPr>
                <w:bCs/>
                <w:color w:val="auto"/>
                <w:sz w:val="28"/>
                <w:szCs w:val="28"/>
              </w:rPr>
            </w:pPr>
            <w:r>
              <w:rPr>
                <w:rFonts w:ascii="楷体" w:hAnsi="楷体" w:eastAsia="楷体"/>
                <w:color w:val="auto"/>
                <w:sz w:val="28"/>
                <w:szCs w:val="28"/>
              </w:rPr>
              <w:t>完成费用总支出的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1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>00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成本节约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198" w:firstLineChars="71"/>
              <w:jc w:val="left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实际支出不超过预算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198" w:firstLineChars="71"/>
              <w:jc w:val="left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实际支出不超过预算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效益</w:t>
            </w:r>
          </w:p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经济效益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节省电子支付费用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/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可节省目前常规移动支付的手续费（约0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>.03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%至0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>.05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%），降低小微企业的经营成本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社会效益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服务实体经济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/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left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系统接入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家中小微实体商户，提升对应的消费，并形成可复制的场景经验。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防控金融风险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/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通过数字人民币特性，联合金融机构防控金融风险，提升金融监管的信息化水平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环境效益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节能减排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/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降低纸币、硬币等实物现金发行和流通过程中的碳排放量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可持续发展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带动数字人民币产业健康发展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/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带动数字人民币产业健康发展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满意度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服务对象数量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社会大众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/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社会大众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满意度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服务满意度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楷体" w:hAnsi="楷体" w:eastAsia="楷体"/>
                <w:color w:val="auto"/>
                <w:sz w:val="28"/>
                <w:szCs w:val="28"/>
              </w:rPr>
              <w:t>90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%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9</w:t>
            </w:r>
            <w:r>
              <w:rPr>
                <w:rFonts w:ascii="楷体" w:hAnsi="楷体" w:eastAsia="楷体"/>
                <w:color w:val="auto"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%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C12"/>
    <w:multiLevelType w:val="multilevel"/>
    <w:tmpl w:val="04207C1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6E56D7"/>
    <w:multiLevelType w:val="multilevel"/>
    <w:tmpl w:val="7C6E56D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MWRiOGYyNDVjNjAwYTdmZGU0ODVjM2JhMGE2ODUifQ=="/>
  </w:docVars>
  <w:rsids>
    <w:rsidRoot w:val="322653F0"/>
    <w:rsid w:val="05357AA3"/>
    <w:rsid w:val="322653F0"/>
    <w:rsid w:val="3BF8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spacing w:line="360" w:lineRule="auto"/>
      <w:ind w:left="200" w:leftChars="200"/>
    </w:pPr>
  </w:style>
  <w:style w:type="paragraph" w:customStyle="1" w:styleId="6">
    <w:name w:val="0.公文段落"/>
    <w:basedOn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</w:pPr>
    <w:rPr>
      <w:rFonts w:eastAsia="仿宋_GB2312"/>
      <w:snapToGrid w:val="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2022-11-18T06:48:00Z</dcterms:created>
  <dc:creator>懒爸</dc:creator>
  <cp:lastModifiedBy>何环</cp:lastModifiedBy>
  <dcterms:modified xsi:type="dcterms:W3CDTF">2022-12-04T13:41:35Z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EE7890D168BA4621B52B3020BA8790B6</vt:lpwstr>
  </property>
</Properties>
</file>