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0" w:firstLineChars="0"/>
        <w:rPr>
          <w:rFonts w:hint="eastAsia" w:eastAsia="方正黑体_GBK"/>
          <w:sz w:val="32"/>
          <w:szCs w:val="32"/>
          <w:lang w:val="en-US"/>
        </w:rPr>
      </w:pPr>
      <w:r>
        <w:rPr>
          <w:rFonts w:hint="eastAsia" w:ascii="方正黑体_GBK" w:eastAsia="方正黑体_GBK"/>
          <w:sz w:val="32"/>
          <w:szCs w:val="32"/>
        </w:rPr>
        <w:t>附件</w:t>
      </w:r>
      <w:r>
        <w:rPr>
          <w:rFonts w:hint="eastAsia" w:eastAsia="方正黑体_GBK"/>
          <w:sz w:val="32"/>
          <w:szCs w:val="32"/>
          <w:lang w:val="en-US" w:eastAsia="zh-CN"/>
        </w:rPr>
        <w:t>2</w:t>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棠德花苑(柴下解困小区）燃气管道老化更新改造项目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广州市发展改革委、住房城乡建设局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1181万元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snapToGrid w:val="0"/>
        <w:spacing w:line="240" w:lineRule="auto"/>
        <w:ind w:left="0" w:leftChars="0" w:firstLine="0" w:firstLineChars="0"/>
        <w:contextualSpacing/>
        <w:textAlignment w:val="auto"/>
        <w:rPr>
          <w:rFonts w:hint="eastAsia"/>
          <w:color w:val="000000"/>
          <w:kern w:val="0"/>
          <w:sz w:val="16"/>
          <w:szCs w:val="16"/>
        </w:rPr>
        <w:sectPr>
          <w:headerReference r:id="rId7" w:type="first"/>
          <w:footerReference r:id="rId10" w:type="first"/>
          <w:headerReference r:id="rId5" w:type="default"/>
          <w:footerReference r:id="rId8" w:type="default"/>
          <w:headerReference r:id="rId6" w:type="even"/>
          <w:footerReference r:id="rId9" w:type="even"/>
          <w:pgSz w:w="11906" w:h="16838"/>
          <w:pgMar w:top="1985" w:right="1616" w:bottom="1814" w:left="1616" w:header="851" w:footer="1474" w:gutter="0"/>
          <w:cols w:space="720" w:num="1"/>
          <w:docGrid w:type="lines" w:linePitch="588" w:charSpace="0"/>
        </w:sect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汕头市金平区老旧小区改造项目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汕头</w:t>
            </w:r>
            <w:r>
              <w:rPr>
                <w:rFonts w:hint="eastAsia"/>
                <w:color w:val="000000"/>
                <w:kern w:val="0"/>
                <w:sz w:val="21"/>
                <w:szCs w:val="21"/>
                <w:lang w:val="en-US" w:eastAsia="zh-CN"/>
              </w:rPr>
              <w:t>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430万元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snapToGrid w:val="0"/>
        <w:spacing w:line="240" w:lineRule="auto"/>
        <w:ind w:left="0" w:leftChars="0" w:firstLine="0" w:firstLineChars="0"/>
        <w:contextualSpacing/>
        <w:textAlignment w:val="auto"/>
        <w:rPr>
          <w:rFonts w:hint="eastAsia"/>
          <w:color w:val="000000"/>
          <w:kern w:val="0"/>
          <w:sz w:val="16"/>
          <w:szCs w:val="16"/>
        </w:rPr>
        <w:sectPr>
          <w:headerReference r:id="rId13" w:type="first"/>
          <w:footerReference r:id="rId16" w:type="first"/>
          <w:headerReference r:id="rId11" w:type="default"/>
          <w:footerReference r:id="rId14" w:type="default"/>
          <w:headerReference r:id="rId12" w:type="even"/>
          <w:footerReference r:id="rId15" w:type="even"/>
          <w:pgSz w:w="11906" w:h="16838"/>
          <w:pgMar w:top="1985" w:right="1616" w:bottom="1814" w:left="1616" w:header="851" w:footer="1474" w:gutter="0"/>
          <w:cols w:space="720" w:num="1"/>
          <w:docGrid w:type="lines" w:linePitch="588" w:charSpace="0"/>
        </w:sect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2022年佛山市顺德区大良街道北区社区连云（大屋、细屋）老旧小区燃气工程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417万元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snapToGrid w:val="0"/>
        <w:spacing w:line="240" w:lineRule="auto"/>
        <w:ind w:left="0" w:leftChars="0" w:firstLine="0" w:firstLineChars="0"/>
        <w:contextualSpacing/>
        <w:textAlignment w:val="auto"/>
        <w:rPr>
          <w:rFonts w:hint="eastAsia"/>
          <w:color w:val="000000"/>
          <w:kern w:val="0"/>
          <w:sz w:val="16"/>
          <w:szCs w:val="16"/>
        </w:rPr>
        <w:sectPr>
          <w:headerReference r:id="rId19" w:type="first"/>
          <w:footerReference r:id="rId22" w:type="first"/>
          <w:headerReference r:id="rId17" w:type="default"/>
          <w:footerReference r:id="rId20" w:type="default"/>
          <w:headerReference r:id="rId18" w:type="even"/>
          <w:footerReference r:id="rId21" w:type="even"/>
          <w:pgSz w:w="11906" w:h="16838"/>
          <w:pgMar w:top="1985" w:right="1616" w:bottom="1814" w:left="1616" w:header="851" w:footer="1474" w:gutter="0"/>
          <w:cols w:space="720" w:num="1"/>
          <w:docGrid w:type="lines" w:linePitch="588" w:charSpace="0"/>
        </w:sect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2022年佛山市顺德区大良街道北区社区连新及安阜老旧小区燃气工程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278万元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snapToGrid w:val="0"/>
        <w:spacing w:line="240" w:lineRule="auto"/>
        <w:ind w:left="0" w:leftChars="0" w:firstLine="0" w:firstLineChars="0"/>
        <w:contextualSpacing/>
        <w:textAlignment w:val="auto"/>
        <w:rPr>
          <w:rFonts w:hint="eastAsia"/>
          <w:color w:val="000000"/>
          <w:kern w:val="0"/>
          <w:sz w:val="16"/>
          <w:szCs w:val="16"/>
        </w:rPr>
        <w:sectPr>
          <w:headerReference r:id="rId25" w:type="first"/>
          <w:footerReference r:id="rId28" w:type="first"/>
          <w:headerReference r:id="rId23" w:type="default"/>
          <w:footerReference r:id="rId26" w:type="default"/>
          <w:headerReference r:id="rId24" w:type="even"/>
          <w:footerReference r:id="rId27" w:type="even"/>
          <w:pgSz w:w="11906" w:h="16838"/>
          <w:pgMar w:top="1985" w:right="1616" w:bottom="1814" w:left="1616" w:header="851" w:footer="1474" w:gutter="0"/>
          <w:cols w:space="720" w:num="1"/>
          <w:docGrid w:type="lines" w:linePitch="588" w:charSpace="0"/>
        </w:sect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2022年佛山市顺德区大良街道新桂社区云桂二街老旧小区燃气工程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295万元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snapToGrid w:val="0"/>
        <w:spacing w:line="240" w:lineRule="auto"/>
        <w:ind w:left="0" w:leftChars="0" w:firstLine="0" w:firstLineChars="0"/>
        <w:contextualSpacing/>
        <w:textAlignment w:val="auto"/>
        <w:rPr>
          <w:rFonts w:hint="eastAsia"/>
          <w:color w:val="000000"/>
          <w:kern w:val="0"/>
          <w:sz w:val="16"/>
          <w:szCs w:val="16"/>
        </w:rPr>
        <w:sectPr>
          <w:headerReference r:id="rId31" w:type="first"/>
          <w:footerReference r:id="rId34" w:type="first"/>
          <w:headerReference r:id="rId29" w:type="default"/>
          <w:footerReference r:id="rId32" w:type="default"/>
          <w:headerReference r:id="rId30" w:type="even"/>
          <w:footerReference r:id="rId33" w:type="even"/>
          <w:pgSz w:w="11906" w:h="16838"/>
          <w:pgMar w:top="1985" w:right="1616" w:bottom="1814" w:left="1616" w:header="851" w:footer="1474" w:gutter="0"/>
          <w:cols w:space="720" w:num="1"/>
          <w:docGrid w:type="lines" w:linePitch="588" w:charSpace="0"/>
        </w:sect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2022年佛山市顺德区大良街道新桂社区及新松社区老旧小区燃气工程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460万元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rPr>
          <w:rFonts w:hint="eastAsia" w:eastAsia="方正仿宋_GBK"/>
          <w:lang w:val="en-US" w:eastAsia="zh-CN"/>
        </w:rPr>
      </w:pPr>
      <w:r>
        <w:rPr>
          <w:rFonts w:hint="eastAsia" w:eastAsia="方正仿宋_GBK"/>
          <w:lang w:val="en-US" w:eastAsia="zh-CN"/>
        </w:rPr>
        <w:br w:type="page"/>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2022年佛山市顺德区大良街道金榜社区老旧小区燃气工程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458万元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r>
        <w:rPr>
          <w:rFonts w:hint="eastAsia" w:eastAsia="方正仿宋_GBK"/>
          <w:lang w:val="en-US" w:eastAsia="zh-CN"/>
        </w:rPr>
        <w:br w:type="page"/>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2022年佛山市顺德区大良街道文秀社区及金榜西苑老旧小区燃气工程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412万元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spacing w:line="240" w:lineRule="auto"/>
        <w:ind w:left="0" w:leftChars="0" w:firstLine="0" w:firstLineChars="0"/>
        <w:contextualSpacing/>
        <w:textAlignment w:val="auto"/>
        <w:rPr>
          <w:rFonts w:hint="eastAsia"/>
          <w:color w:val="000000"/>
          <w:kern w:val="0"/>
          <w:sz w:val="16"/>
          <w:szCs w:val="16"/>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2022年佛山市顺德区大良街道大门社区七八一七工厂老旧小区燃气工程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216万元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r>
        <w:rPr>
          <w:rFonts w:hint="eastAsia" w:eastAsia="方正仿宋_GBK"/>
          <w:lang w:val="en-US" w:eastAsia="zh-CN"/>
        </w:rPr>
        <w:br w:type="page"/>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2022年佛山市顺德区容桂街道容新社区老旧小区管道老化改造项目（燃气及供水改造）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1086万元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2022年佛山市顺德区容桂街道德胜、容山、四基社区老旧小区管道老化改造项目（燃气及供水改造）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794万元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2022年顺德区伦教街道老旧小区天然气改造工程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436万元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2022年佛山市顺德区勒流街道老旧小区管道燃气入户改造工程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r>
        <w:rPr>
          <w:rFonts w:hint="eastAsia" w:eastAsia="方正仿宋_GBK"/>
          <w:lang w:val="en-US" w:eastAsia="zh-CN"/>
        </w:rPr>
        <w:br w:type="page"/>
      </w: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2022年佛山市顺德区陈村镇老旧小区改造项目（燃气及消防改造）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佛山</w:t>
            </w:r>
            <w:r>
              <w:rPr>
                <w:rFonts w:hint="eastAsia"/>
                <w:color w:val="000000"/>
                <w:kern w:val="0"/>
                <w:sz w:val="21"/>
                <w:szCs w:val="21"/>
                <w:lang w:val="en-US" w:eastAsia="zh-CN"/>
              </w:rPr>
              <w:t>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159万元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2022年佛山市顺德区北滘镇北滘社区（蓬莱新村、美的新村）老旧小区燃气工程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456万元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2022年佛山市顺德区乐从镇老旧小区城市燃气管道等老化更新改造工程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182万元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2022年佛山市顺德区均安镇老旧小区燃气改造项目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佛山市发展改革局、住房城乡建设局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119万元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梅州市城区老旧小区户内燃气设施及实验路片区配套基础设施改造项目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梅州市发展改革局、住房城乡建设局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1943万元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五华县城区居民燃气橡胶软管、加装燃气安全装置等老化更新改造项目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梅州市发展改革局、住房城乡建设局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1701万元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惠州市惠城区2022年城镇老旧小区燃气设施整治项目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惠州市发展改革局、住房城乡建设局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惠州市博罗县2022-2023年城镇老旧小区燃气设施整改项目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惠州市发展改革局、住房城乡建设局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2500万元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凤山街道东北片区老旧小区改造项目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汕尾市发展改革局、住房城乡建设局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1509万元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rPr>
          <w:rFonts w:hint="eastAsia" w:ascii="方正黑体_GBK" w:eastAsia="方正黑体_GBK"/>
          <w:sz w:val="32"/>
          <w:szCs w:val="32"/>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汕尾市城区渔村老旧小区改造项目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汕尾市发展改革局、住房城乡建设局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2554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2554万元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汕尾市城区香洲街道园林小区、银城小区、粮食大院等老旧小区改造项目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汕尾市发展改革局、住房城乡建设局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1166万元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恩平市新塘片区老旧小区改造工程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江门市发展改革局、住房城乡建设局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snapToGrid w:val="0"/>
        <w:ind w:firstLine="0" w:firstLineChars="0"/>
        <w:rPr>
          <w:rFonts w:hint="eastAsia" w:ascii="方正黑体_GBK" w:eastAsia="方正黑体_GBK"/>
          <w:sz w:val="32"/>
          <w:szCs w:val="32"/>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恩平市河南如意街片区老旧小区改造工程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江门市发展改革局、住房城乡建设局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413万元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恩平市河南中山公园片区老旧小区改造工程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江门市发展改革局、住房城乡建设局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879万元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恩平市东门富源东片区老旧小区改造工程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江门市发展改革局、住房城乡建设局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292万元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恩平市东门水运片区老旧小区改造工程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江门市发展改革局、住房城乡建设局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499万元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端州区2022年老旧小区改造配套基础设施建设项目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肇庆市发展改革局、住房城乡建设局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1801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1801万元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p>
      <w:pPr>
        <w:snapToGrid w:val="0"/>
        <w:ind w:firstLine="0" w:firstLineChars="0"/>
        <w:jc w:val="center"/>
        <w:rPr>
          <w:rFonts w:hint="eastAsia" w:ascii="方正小标宋_GBK" w:eastAsia="方正小标宋_GBK"/>
          <w:sz w:val="40"/>
          <w:szCs w:val="40"/>
          <w:lang w:eastAsia="zh-CN"/>
        </w:rPr>
      </w:pPr>
    </w:p>
    <w:p>
      <w:pPr>
        <w:snapToGrid w:val="0"/>
        <w:ind w:firstLine="0" w:firstLineChars="0"/>
        <w:jc w:val="center"/>
        <w:rPr>
          <w:rFonts w:hint="eastAsia" w:ascii="方正小标宋_GBK" w:eastAsia="方正小标宋_GBK"/>
          <w:sz w:val="40"/>
          <w:szCs w:val="40"/>
        </w:rPr>
      </w:pPr>
      <w:r>
        <w:rPr>
          <w:rFonts w:hint="eastAsia" w:ascii="方正小标宋_GBK" w:eastAsia="方正小标宋_GBK"/>
          <w:sz w:val="40"/>
          <w:szCs w:val="40"/>
        </w:rPr>
        <w:t>20</w:t>
      </w:r>
      <w:r>
        <w:rPr>
          <w:rFonts w:hint="eastAsia" w:ascii="方正小标宋_GBK" w:eastAsia="方正小标宋_GBK"/>
          <w:sz w:val="40"/>
          <w:szCs w:val="40"/>
          <w:lang w:val="en-US" w:eastAsia="zh-CN"/>
        </w:rPr>
        <w:t>22</w:t>
      </w:r>
      <w:r>
        <w:rPr>
          <w:rFonts w:hint="eastAsia" w:ascii="方正小标宋_GBK" w:eastAsia="方正小标宋_GBK"/>
          <w:sz w:val="40"/>
          <w:szCs w:val="40"/>
        </w:rPr>
        <w:t>年</w:t>
      </w:r>
      <w:r>
        <w:rPr>
          <w:rFonts w:hint="eastAsia" w:ascii="方正小标宋_GBK" w:eastAsia="方正小标宋_GBK"/>
          <w:sz w:val="40"/>
          <w:szCs w:val="40"/>
          <w:lang w:eastAsia="zh-CN"/>
        </w:rPr>
        <w:t>保障性安居工程（第三批）</w:t>
      </w:r>
      <w:r>
        <w:rPr>
          <w:rFonts w:hint="eastAsia" w:ascii="方正小标宋_GBK" w:eastAsia="方正小标宋_GBK"/>
          <w:sz w:val="40"/>
          <w:szCs w:val="40"/>
        </w:rPr>
        <w:t>中央</w:t>
      </w:r>
      <w:r>
        <w:rPr>
          <w:rFonts w:hint="eastAsia" w:ascii="方正小标宋_GBK" w:eastAsia="方正小标宋_GBK"/>
          <w:sz w:val="40"/>
          <w:szCs w:val="40"/>
          <w:lang w:eastAsia="zh-CN"/>
        </w:rPr>
        <w:t>基建</w:t>
      </w:r>
      <w:r>
        <w:rPr>
          <w:rFonts w:hint="eastAsia" w:ascii="方正小标宋_GBK" w:eastAsia="方正小标宋_GBK"/>
          <w:sz w:val="40"/>
          <w:szCs w:val="40"/>
        </w:rPr>
        <w:t>投资绩效目标表</w:t>
      </w:r>
    </w:p>
    <w:p>
      <w:pPr>
        <w:snapToGrid w:val="0"/>
        <w:ind w:firstLine="0" w:firstLineChars="0"/>
        <w:jc w:val="center"/>
        <w:rPr>
          <w:rFonts w:hint="eastAsia" w:ascii="方正小标宋_GBK" w:eastAsia="方正小标宋_GBK"/>
          <w:sz w:val="36"/>
          <w:szCs w:val="36"/>
          <w:lang w:eastAsia="zh-CN"/>
        </w:rPr>
      </w:pPr>
      <w:bookmarkStart w:id="0" w:name="_GoBack"/>
      <w:bookmarkEnd w:id="0"/>
      <w:r>
        <w:rPr>
          <w:rFonts w:hint="eastAsia" w:ascii="方正小标宋_GBK" w:eastAsia="方正小标宋_GBK"/>
          <w:sz w:val="36"/>
          <w:szCs w:val="36"/>
          <w:lang w:eastAsia="zh-CN"/>
        </w:rPr>
        <w:t>（</w:t>
      </w:r>
      <w:r>
        <w:rPr>
          <w:rFonts w:hint="eastAsia" w:ascii="方正小标宋_GBK" w:eastAsia="方正小标宋_GBK"/>
          <w:b w:val="0"/>
          <w:bCs w:val="0"/>
          <w:sz w:val="32"/>
          <w:szCs w:val="32"/>
          <w:lang w:val="en-US" w:eastAsia="zh-CN"/>
        </w:rPr>
        <w:t>2022年度</w:t>
      </w:r>
      <w:r>
        <w:rPr>
          <w:rFonts w:hint="eastAsia" w:ascii="方正小标宋_GBK" w:eastAsia="方正小标宋_GBK"/>
          <w:sz w:val="36"/>
          <w:szCs w:val="36"/>
          <w:lang w:eastAsia="zh-CN"/>
        </w:rPr>
        <w:t>）</w:t>
      </w:r>
    </w:p>
    <w:tbl>
      <w:tblPr>
        <w:tblStyle w:val="4"/>
        <w:tblW w:w="8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726"/>
        <w:gridCol w:w="629"/>
        <w:gridCol w:w="625"/>
        <w:gridCol w:w="266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lang w:eastAsia="zh-CN"/>
              </w:rPr>
              <w:t>项目</w:t>
            </w:r>
            <w:r>
              <w:rPr>
                <w:color w:val="000000"/>
                <w:kern w:val="0"/>
                <w:sz w:val="21"/>
                <w:szCs w:val="21"/>
              </w:rPr>
              <w:t>名称</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连南瑶族自治县县城老旧小区改造项目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下达地方或单位</w:t>
            </w:r>
          </w:p>
        </w:tc>
        <w:tc>
          <w:tcPr>
            <w:tcW w:w="5576"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清远市发展改革局、住房城乡建设局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本次下达中央预算内投资（万元）</w:t>
            </w:r>
          </w:p>
        </w:tc>
        <w:tc>
          <w:tcPr>
            <w:tcW w:w="55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959" w:type="dxa"/>
            <w:tcBorders>
              <w:top w:val="nil"/>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总</w:t>
            </w:r>
            <w:r>
              <w:rPr>
                <w:color w:val="000000"/>
                <w:kern w:val="0"/>
                <w:sz w:val="21"/>
                <w:szCs w:val="21"/>
              </w:rPr>
              <w:br w:type="textWrapping"/>
            </w:r>
            <w:r>
              <w:rPr>
                <w:color w:val="000000"/>
                <w:kern w:val="0"/>
                <w:sz w:val="21"/>
                <w:szCs w:val="21"/>
              </w:rPr>
              <w:t>体</w:t>
            </w:r>
            <w:r>
              <w:rPr>
                <w:color w:val="000000"/>
                <w:kern w:val="0"/>
                <w:sz w:val="21"/>
                <w:szCs w:val="21"/>
              </w:rPr>
              <w:br w:type="textWrapping"/>
            </w:r>
            <w:r>
              <w:rPr>
                <w:color w:val="000000"/>
                <w:kern w:val="0"/>
                <w:sz w:val="21"/>
                <w:szCs w:val="21"/>
              </w:rPr>
              <w:t>目</w:t>
            </w:r>
            <w:r>
              <w:rPr>
                <w:color w:val="000000"/>
                <w:kern w:val="0"/>
                <w:sz w:val="21"/>
                <w:szCs w:val="21"/>
              </w:rPr>
              <w:br w:type="textWrapping"/>
            </w:r>
            <w:r>
              <w:rPr>
                <w:color w:val="000000"/>
                <w:kern w:val="0"/>
                <w:sz w:val="21"/>
                <w:szCs w:val="21"/>
              </w:rPr>
              <w:t>标</w:t>
            </w:r>
          </w:p>
        </w:tc>
        <w:tc>
          <w:tcPr>
            <w:tcW w:w="7931"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val="en-US" w:eastAsia="zh-CN"/>
              </w:rPr>
              <w:t xml:space="preserve">     </w:t>
            </w:r>
            <w:r>
              <w:rPr>
                <w:rFonts w:hint="eastAsia"/>
                <w:color w:val="000000"/>
                <w:kern w:val="0"/>
                <w:sz w:val="21"/>
                <w:szCs w:val="21"/>
                <w:lang w:eastAsia="zh-CN"/>
              </w:rPr>
              <w:t>按照《中央预算内投资保障性安居工程专项管理暂行办法》（发改投资规〔</w:t>
            </w:r>
            <w:r>
              <w:rPr>
                <w:rFonts w:hint="eastAsia"/>
                <w:color w:val="000000"/>
                <w:kern w:val="0"/>
                <w:sz w:val="21"/>
                <w:szCs w:val="21"/>
                <w:lang w:val="en-US" w:eastAsia="zh-CN"/>
              </w:rPr>
              <w:t>2019</w:t>
            </w:r>
            <w:r>
              <w:rPr>
                <w:rFonts w:hint="eastAsia"/>
                <w:color w:val="000000"/>
                <w:kern w:val="0"/>
                <w:sz w:val="21"/>
                <w:szCs w:val="21"/>
                <w:lang w:eastAsia="zh-CN"/>
              </w:rPr>
              <w:t>〕</w:t>
            </w:r>
            <w:r>
              <w:rPr>
                <w:rFonts w:hint="eastAsia"/>
                <w:color w:val="000000"/>
                <w:kern w:val="0"/>
                <w:sz w:val="21"/>
                <w:szCs w:val="21"/>
                <w:lang w:val="en-US" w:eastAsia="zh-CN"/>
              </w:rPr>
              <w:t>1035号）和</w:t>
            </w:r>
            <w:r>
              <w:rPr>
                <w:rFonts w:hint="eastAsia"/>
                <w:color w:val="000000"/>
                <w:kern w:val="0"/>
                <w:sz w:val="21"/>
                <w:szCs w:val="21"/>
                <w:lang w:eastAsia="zh-CN"/>
              </w:rPr>
              <w:t>《保障性租赁住房中央预算内投资专项管理暂行办法》（发改投资规〔</w:t>
            </w:r>
            <w:r>
              <w:rPr>
                <w:rFonts w:hint="eastAsia"/>
                <w:color w:val="000000"/>
                <w:kern w:val="0"/>
                <w:sz w:val="21"/>
                <w:szCs w:val="21"/>
                <w:lang w:val="en-US" w:eastAsia="zh-CN"/>
              </w:rPr>
              <w:t>2021</w:t>
            </w:r>
            <w:r>
              <w:rPr>
                <w:rFonts w:hint="eastAsia"/>
                <w:color w:val="000000"/>
                <w:kern w:val="0"/>
                <w:sz w:val="21"/>
                <w:szCs w:val="21"/>
                <w:lang w:eastAsia="zh-CN"/>
              </w:rPr>
              <w:t>〕</w:t>
            </w:r>
            <w:r>
              <w:rPr>
                <w:rFonts w:hint="eastAsia"/>
                <w:color w:val="000000"/>
                <w:kern w:val="0"/>
                <w:sz w:val="21"/>
                <w:szCs w:val="21"/>
                <w:lang w:val="en-US" w:eastAsia="zh-CN"/>
              </w:rPr>
              <w:t>696号）文件规定，将保障性安居工程专项中央预算内投资计划尽快分解下达,支持城镇老旧小区改造配套基础设施建设、棚户区改造和公租房配套基础设施建设、保障性租赁住房及配套基础设施建设。</w:t>
            </w:r>
            <w:r>
              <w:rPr>
                <w:color w:val="000000"/>
                <w:kern w:val="0"/>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59" w:type="dxa"/>
            <w:vMerge w:val="restart"/>
            <w:tcBorders>
              <w:top w:val="nil"/>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绩</w:t>
            </w:r>
            <w:r>
              <w:rPr>
                <w:color w:val="000000"/>
                <w:kern w:val="0"/>
                <w:sz w:val="21"/>
                <w:szCs w:val="21"/>
              </w:rPr>
              <w:br w:type="textWrapping"/>
            </w:r>
            <w:r>
              <w:rPr>
                <w:color w:val="000000"/>
                <w:kern w:val="0"/>
                <w:sz w:val="21"/>
                <w:szCs w:val="21"/>
              </w:rPr>
              <w:t>效</w:t>
            </w:r>
            <w:r>
              <w:rPr>
                <w:color w:val="000000"/>
                <w:kern w:val="0"/>
                <w:sz w:val="21"/>
                <w:szCs w:val="21"/>
              </w:rPr>
              <w:br w:type="textWrapping"/>
            </w:r>
            <w:r>
              <w:rPr>
                <w:color w:val="000000"/>
                <w:kern w:val="0"/>
                <w:sz w:val="21"/>
                <w:szCs w:val="21"/>
              </w:rPr>
              <w:t>指</w:t>
            </w:r>
            <w:r>
              <w:rPr>
                <w:color w:val="000000"/>
                <w:kern w:val="0"/>
                <w:sz w:val="21"/>
                <w:szCs w:val="21"/>
              </w:rPr>
              <w:br w:type="textWrapping"/>
            </w:r>
            <w:r>
              <w:rPr>
                <w:color w:val="000000"/>
                <w:kern w:val="0"/>
                <w:sz w:val="21"/>
                <w:szCs w:val="21"/>
              </w:rPr>
              <w:t>标</w:t>
            </w:r>
          </w:p>
        </w:tc>
        <w:tc>
          <w:tcPr>
            <w:tcW w:w="1726"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一级指标</w:t>
            </w:r>
          </w:p>
        </w:tc>
        <w:tc>
          <w:tcPr>
            <w:tcW w:w="1254" w:type="dxa"/>
            <w:gridSpan w:val="2"/>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二级指标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三级指标</w:t>
            </w:r>
          </w:p>
        </w:tc>
        <w:tc>
          <w:tcPr>
            <w:tcW w:w="2291" w:type="dxa"/>
            <w:tcBorders>
              <w:top w:val="nil"/>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color w:val="000000"/>
                <w:kern w:val="0"/>
                <w:sz w:val="21"/>
                <w:szCs w:val="21"/>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left w:val="single" w:color="auto" w:sz="4" w:space="0"/>
              <w:right w:val="single" w:color="auto" w:sz="4" w:space="0"/>
            </w:tcBorders>
            <w:vAlign w:val="center"/>
          </w:tcPr>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color w:val="000000"/>
                <w:kern w:val="0"/>
                <w:sz w:val="21"/>
                <w:szCs w:val="21"/>
                <w:lang w:eastAsia="zh-CN"/>
              </w:rPr>
            </w:pPr>
          </w:p>
          <w:p>
            <w:pPr>
              <w:widowControl/>
              <w:snapToGrid w:val="0"/>
              <w:spacing w:line="240" w:lineRule="auto"/>
              <w:ind w:left="0" w:leftChars="0" w:firstLine="0" w:firstLineChars="0"/>
              <w:contextualSpacing/>
              <w:jc w:val="left"/>
              <w:textAlignment w:val="auto"/>
              <w:rPr>
                <w:rFonts w:hint="eastAsia" w:eastAsia="方正仿宋_GBK"/>
                <w:color w:val="000000"/>
                <w:kern w:val="0"/>
                <w:sz w:val="21"/>
                <w:szCs w:val="21"/>
                <w:lang w:eastAsia="zh-CN"/>
              </w:rPr>
            </w:pPr>
            <w:r>
              <w:rPr>
                <w:rFonts w:hint="eastAsia"/>
                <w:color w:val="000000"/>
                <w:kern w:val="0"/>
                <w:sz w:val="21"/>
                <w:szCs w:val="21"/>
                <w:lang w:eastAsia="zh-CN"/>
              </w:rPr>
              <w:t>实施效果指标</w:t>
            </w:r>
          </w:p>
        </w:tc>
        <w:tc>
          <w:tcPr>
            <w:tcW w:w="1254" w:type="dxa"/>
            <w:gridSpan w:val="2"/>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产出指标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下达中央预算内投资</w:t>
            </w:r>
          </w:p>
        </w:tc>
        <w:tc>
          <w:tcPr>
            <w:tcW w:w="2291" w:type="dxa"/>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291万元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效益指标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提高群众获得感、幸福感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254" w:type="dxa"/>
            <w:gridSpan w:val="2"/>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eastAsia="zh-CN"/>
              </w:rPr>
            </w:pPr>
            <w:r>
              <w:rPr>
                <w:rFonts w:hint="eastAsia"/>
                <w:color w:val="000000"/>
                <w:kern w:val="0"/>
                <w:sz w:val="21"/>
                <w:szCs w:val="21"/>
                <w:lang w:eastAsia="zh-CN"/>
              </w:rPr>
              <w:t>满意度指标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eastAsia="zh-CN"/>
              </w:rPr>
              <w:t>居民满意度</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r>
              <w:rPr>
                <w:rFonts w:hint="eastAsia"/>
                <w:color w:val="000000"/>
                <w:kern w:val="0"/>
                <w:sz w:val="21"/>
                <w:szCs w:val="21"/>
              </w:rPr>
              <w:t>过程管理指标</w:t>
            </w:r>
          </w:p>
          <w:p>
            <w:pPr>
              <w:snapToGrid w:val="0"/>
              <w:ind w:firstLine="320"/>
              <w:contextualSpacing/>
              <w:jc w:val="center"/>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计划管理指标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eastAsia="zh-CN"/>
              </w:rPr>
              <w:t>投资计划分解（转发）用时达标率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“两个责任”按项目落实到位率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top w:val="single" w:color="auto" w:sz="4" w:space="0"/>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spacing w:val="-16"/>
                <w:kern w:val="0"/>
                <w:sz w:val="21"/>
                <w:szCs w:val="21"/>
                <w:lang w:val="en-US" w:eastAsia="zh-CN"/>
              </w:rPr>
            </w:pPr>
            <w:r>
              <w:rPr>
                <w:rFonts w:hint="eastAsia"/>
                <w:color w:val="000000"/>
                <w:spacing w:val="-16"/>
                <w:kern w:val="0"/>
                <w:sz w:val="21"/>
                <w:szCs w:val="21"/>
                <w:lang w:val="en-US" w:eastAsia="zh-CN"/>
              </w:rPr>
              <w:t>资金管理指标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中央预算内投资支付率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年度计划投资完成率</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59" w:type="dxa"/>
            <w:vMerge w:val="continue"/>
            <w:tcBorders>
              <w:left w:val="single" w:color="auto" w:sz="4" w:space="0"/>
              <w:right w:val="single" w:color="auto" w:sz="4" w:space="0"/>
            </w:tcBorders>
            <w:vAlign w:val="center"/>
          </w:tcPr>
          <w:p>
            <w:pPr>
              <w:snapToGrid w:val="0"/>
              <w:ind w:firstLine="320"/>
              <w:contextualSpacing/>
              <w:jc w:val="left"/>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restart"/>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项目管理指标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项目开工率</w:t>
            </w:r>
          </w:p>
        </w:tc>
        <w:tc>
          <w:tcPr>
            <w:tcW w:w="2291" w:type="dxa"/>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959"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超规模、超标准、超概算项目比例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959"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color w:val="000000"/>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color w:val="000000"/>
                <w:kern w:val="0"/>
                <w:sz w:val="21"/>
                <w:szCs w:val="21"/>
              </w:rPr>
            </w:pPr>
          </w:p>
        </w:tc>
        <w:tc>
          <w:tcPr>
            <w:tcW w:w="125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eastAsia="方正仿宋_GBK"/>
                <w:color w:val="000000"/>
                <w:kern w:val="0"/>
                <w:sz w:val="21"/>
                <w:szCs w:val="21"/>
                <w:lang w:eastAsia="zh-CN"/>
              </w:rPr>
            </w:pPr>
            <w:r>
              <w:rPr>
                <w:rFonts w:hint="eastAsia"/>
                <w:color w:val="000000"/>
                <w:kern w:val="0"/>
                <w:sz w:val="21"/>
                <w:szCs w:val="21"/>
                <w:lang w:eastAsia="zh-CN"/>
              </w:rPr>
              <w:t>监督检查指标</w:t>
            </w:r>
          </w:p>
        </w:tc>
        <w:tc>
          <w:tcPr>
            <w:tcW w:w="2660" w:type="dxa"/>
            <w:tcBorders>
              <w:top w:val="single" w:color="auto" w:sz="4" w:space="0"/>
              <w:left w:val="nil"/>
              <w:bottom w:val="single" w:color="auto" w:sz="4" w:space="0"/>
              <w:right w:val="single" w:color="auto" w:sz="4" w:space="0"/>
            </w:tcBorders>
            <w:vAlign w:val="center"/>
          </w:tcPr>
          <w:p>
            <w:pPr>
              <w:widowControl/>
              <w:snapToGrid w:val="0"/>
              <w:spacing w:line="240" w:lineRule="auto"/>
              <w:ind w:firstLine="0" w:firstLineChars="0"/>
              <w:contextualSpacing/>
              <w:jc w:val="left"/>
              <w:textAlignment w:val="auto"/>
              <w:rPr>
                <w:rFonts w:hint="eastAsia" w:eastAsia="方正仿宋_GBK"/>
                <w:color w:val="000000"/>
                <w:kern w:val="0"/>
                <w:sz w:val="21"/>
                <w:szCs w:val="21"/>
                <w:lang w:val="en-US" w:eastAsia="zh-CN"/>
              </w:rPr>
            </w:pPr>
            <w:r>
              <w:rPr>
                <w:rFonts w:hint="eastAsia"/>
                <w:color w:val="000000"/>
                <w:kern w:val="0"/>
                <w:sz w:val="21"/>
                <w:szCs w:val="21"/>
                <w:lang w:val="en-US" w:eastAsia="zh-CN"/>
              </w:rPr>
              <w:t>审计、督查、巡视等指出问题项目比例</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contextualSpacing/>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w:t>
            </w:r>
          </w:p>
        </w:tc>
      </w:tr>
    </w:tbl>
    <w:p>
      <w:pPr>
        <w:ind w:left="0" w:leftChars="0" w:firstLine="0" w:firstLineChars="0"/>
        <w:rPr>
          <w:rFonts w:hint="eastAsia" w:eastAsia="方正仿宋_GBK"/>
          <w:lang w:val="en-US" w:eastAsia="zh-CN"/>
        </w:rPr>
      </w:pPr>
    </w:p>
    <w:sectPr>
      <w:pgSz w:w="11906" w:h="16838"/>
      <w:pgMar w:top="1985" w:right="1616" w:bottom="1814" w:left="1616" w:header="851" w:footer="1474" w:gutter="0"/>
      <w:cols w:space="720" w:num="1"/>
      <w:docGrid w:type="lines" w:linePitch="58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hint="eastAsia" w:ascii="仿宋_GB2312" w:hAnsi="宋体" w:eastAsia="仿宋_GB2312"/>
        <w:caps/>
        <w:sz w:val="28"/>
        <w:szCs w:val="28"/>
        <w:lang w:val="en-US" w:eastAsia="zh-CN"/>
      </w:rPr>
    </w:pPr>
    <w:r>
      <w:rPr>
        <w:rFonts w:hint="eastAsia" w:ascii="仿宋_GB2312" w:hAnsi="宋体" w:eastAsia="仿宋_GB2312"/>
        <w:caps/>
        <w:sz w:val="28"/>
        <w:szCs w:val="28"/>
        <w:lang w:val="en-US" w:eastAsia="zh-CN"/>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hint="eastAsia" w:ascii="仿宋_GB2312" w:hAnsi="宋体" w:eastAsia="仿宋_GB2312"/>
        <w:caps/>
        <w:sz w:val="28"/>
        <w:szCs w:val="28"/>
        <w:lang w:val="en-US" w:eastAsia="zh-CN"/>
      </w:rPr>
    </w:pPr>
    <w:r>
      <w:rPr>
        <w:rFonts w:hint="eastAsia" w:ascii="仿宋_GB2312" w:hAnsi="宋体" w:eastAsia="仿宋_GB2312"/>
        <w:caps/>
        <w:sz w:val="28"/>
        <w:szCs w:val="28"/>
        <w:lang w:val="en-US" w:eastAsia="zh-CN"/>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rPr>
        <w:rFonts w:ascii="仿宋_GB2312" w:hAnsi="宋体" w:eastAsia="仿宋_GB2312"/>
        <w:caps/>
        <w:sz w:val="28"/>
        <w:szCs w:val="2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hint="eastAsia" w:ascii="仿宋_GB2312" w:hAnsi="宋体" w:eastAsia="仿宋_GB2312"/>
        <w:caps/>
        <w:sz w:val="28"/>
        <w:szCs w:val="28"/>
        <w:lang w:val="en-US" w:eastAsia="zh-CN"/>
      </w:rPr>
    </w:pPr>
    <w:r>
      <w:rPr>
        <w:rFonts w:hint="eastAsia" w:ascii="仿宋_GB2312" w:hAnsi="宋体" w:eastAsia="仿宋_GB2312"/>
        <w:caps/>
        <w:sz w:val="28"/>
        <w:szCs w:val="28"/>
        <w:lang w:val="en-US" w:eastAsia="zh-CN"/>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rPr>
        <w:rFonts w:ascii="仿宋_GB2312" w:hAnsi="宋体" w:eastAsia="仿宋_GB2312"/>
        <w:caps/>
        <w:sz w:val="28"/>
        <w:szCs w:val="2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rPr>
        <w:rFonts w:ascii="仿宋_GB2312" w:hAnsi="宋体" w:eastAsia="仿宋_GB2312"/>
        <w:caps/>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hint="eastAsia" w:ascii="仿宋_GB2312" w:hAnsi="宋体" w:eastAsia="仿宋_GB2312"/>
        <w:caps/>
        <w:sz w:val="28"/>
        <w:szCs w:val="28"/>
        <w:lang w:val="en-US" w:eastAsia="zh-CN"/>
      </w:rPr>
    </w:pPr>
    <w:r>
      <w:rPr>
        <w:rFonts w:hint="eastAsia" w:ascii="仿宋_GB2312" w:hAnsi="宋体" w:eastAsia="仿宋_GB2312"/>
        <w:caps/>
        <w:sz w:val="28"/>
        <w:szCs w:val="28"/>
        <w:lang w:val="en-US"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rPr>
        <w:rFonts w:ascii="仿宋_GB2312" w:hAnsi="宋体" w:eastAsia="仿宋_GB2312"/>
        <w:caps/>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jc w:val="right"/>
      <w:rPr>
        <w:rFonts w:hint="eastAsia" w:ascii="仿宋_GB2312" w:hAnsi="宋体" w:eastAsia="仿宋_GB2312"/>
        <w:caps/>
        <w:sz w:val="28"/>
        <w:szCs w:val="28"/>
        <w:lang w:val="en-US" w:eastAsia="zh-CN"/>
      </w:rPr>
    </w:pPr>
    <w:r>
      <w:rPr>
        <w:rFonts w:hint="eastAsia" w:ascii="仿宋_GB2312" w:hAnsi="宋体" w:eastAsia="仿宋_GB2312"/>
        <w:caps/>
        <w:sz w:val="28"/>
        <w:szCs w:val="28"/>
        <w:lang w:val="en-US" w:eastAsia="zh-CN"/>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1" w:firstLine="560"/>
      <w:rPr>
        <w:rFonts w:ascii="仿宋_GB2312" w:hAnsi="宋体" w:eastAsia="仿宋_GB2312"/>
        <w:caps/>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jc w:val="both"/>
      <w:rPr>
        <w:rFonts w:hint="eastAsia" w:eastAsia="方正仿宋_GBK"/>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jc w:val="both"/>
      <w:rPr>
        <w:rFonts w:hint="eastAsia" w:eastAsia="方正仿宋_GBK"/>
        <w:lang w:eastAsia="zh-C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jc w:val="both"/>
      <w:rPr>
        <w:rFonts w:hint="eastAsia" w:eastAsia="方正仿宋_GBK"/>
        <w:lang w:eastAsia="zh-C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jc w:val="both"/>
      <w:rPr>
        <w:rFonts w:hint="eastAsia" w:eastAsia="方正仿宋_GBK"/>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jc w:val="both"/>
      <w:rPr>
        <w:rFonts w:hint="eastAsia" w:eastAsia="方正仿宋_GBK"/>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162DB"/>
    <w:rsid w:val="1D286A9A"/>
    <w:rsid w:val="1E8D1DB8"/>
    <w:rsid w:val="258D6473"/>
    <w:rsid w:val="2DD25D34"/>
    <w:rsid w:val="2FCB3E46"/>
    <w:rsid w:val="3EE74A47"/>
    <w:rsid w:val="3FBC67A4"/>
    <w:rsid w:val="4C564788"/>
    <w:rsid w:val="6E384E1B"/>
    <w:rsid w:val="78327CC5"/>
    <w:rsid w:val="7D0C0F79"/>
    <w:rsid w:val="7D0E68ED"/>
    <w:rsid w:val="7EFFB6FC"/>
    <w:rsid w:val="7FD52B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ind w:firstLine="200" w:firstLineChars="200"/>
      <w:jc w:val="both"/>
      <w:textAlignment w:val="center"/>
    </w:pPr>
    <w:rPr>
      <w:rFonts w:ascii="Times New Roman" w:hAnsi="Times New Roman" w:eastAsia="方正仿宋_GBK" w:cs="Times New Roman"/>
      <w:kern w:val="2"/>
      <w:sz w:val="30"/>
      <w:szCs w:val="22"/>
      <w:lang w:val="en-US" w:eastAsia="zh-CN" w:bidi="ar-SA"/>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rFonts w:ascii="Calibri" w:hAnsi="Calibri"/>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rFonts w:ascii="Calibri" w:hAnsi="Calibri"/>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theme" Target="theme/theme1.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footer" Target="footer13.xml"/><Relationship Id="rId31" Type="http://schemas.openxmlformats.org/officeDocument/2006/relationships/header" Target="header15.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footer" Target="footer10.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2021-03-23T22:47:00Z</dcterms:created>
  <dc:creator>郑昊</dc:creator>
  <cp:lastModifiedBy>张特黎</cp:lastModifiedBy>
  <dcterms:modified xsi:type="dcterms:W3CDTF">2022-07-21T09:30:09Z</dcterms:modified>
  <dc:title>附件2-1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