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  <w:t>广东省现行主要财政票据目录</w:t>
      </w:r>
    </w:p>
    <w:p>
      <w:pPr>
        <w:rPr>
          <w:color w:val="auto"/>
          <w:highlight w:val="none"/>
          <w:u w:val="none"/>
        </w:rPr>
      </w:pPr>
    </w:p>
    <w:tbl>
      <w:tblPr>
        <w:tblStyle w:val="4"/>
        <w:tblpPr w:leftFromText="180" w:rightFromText="180" w:vertAnchor="text" w:horzAnchor="page" w:tblpX="1575" w:tblpY="348"/>
        <w:tblOverlap w:val="never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093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票据名称</w:t>
            </w:r>
          </w:p>
        </w:tc>
        <w:tc>
          <w:tcPr>
            <w:tcW w:w="422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广东省非税收入统一票据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广东省非税收入定额票据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设1元、5元、10元、20元、50元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广东省非税收入(电子)票据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用于自助缴款设备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广东省收费公路通行费财政票据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0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广东省行政事业单位资金往来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结算票据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广东省公益事业捐赠专用收据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广东省医疗门诊收费票据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广东省医疗住院收费票据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广东省医疗机构诊金收费收据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广东省社会团体会费统一票据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广东省社会保险基金专用收据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广东省住宅专项维修资金专用收据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广东省暂时扣留、冻结财物收据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广东省人民法院案款收据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0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广东省人民法院诉讼费专用票据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093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广东省合作医疗互助保障资金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专用票据</w:t>
            </w:r>
          </w:p>
        </w:tc>
        <w:tc>
          <w:tcPr>
            <w:tcW w:w="42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6B27"/>
    <w:rsid w:val="0CA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2022-01-26T02:14:00Z</dcterms:created>
  <dc:creator>247</dc:creator>
  <cp:lastModifiedBy>247</cp:lastModifiedBy>
  <dcterms:modified xsi:type="dcterms:W3CDTF">2022-01-26T02:15:32Z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