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left"/>
        <w:rPr>
          <w:rFonts w:hint="eastAsia"/>
        </w:rPr>
      </w:pPr>
    </w:p>
    <w:p>
      <w:pPr>
        <w:ind w:right="-83" w:firstLine="147" w:firstLineChars="49"/>
        <w:contextualSpacing/>
        <w:jc w:val="right"/>
        <w:rPr>
          <w:rFonts w:hint="eastAsia" w:eastAsia="仿宋_GB2312"/>
          <w:color w:val="000000"/>
          <w:sz w:val="32"/>
          <w:szCs w:val="32"/>
          <w:lang w:eastAsia="zh-CN"/>
        </w:rPr>
      </w:pPr>
      <w:r>
        <w:rPr>
          <w:rFonts w:hint="eastAsia"/>
          <w:color w:val="000000"/>
          <w:sz w:val="30"/>
          <w:szCs w:val="30"/>
        </w:rPr>
        <w:t xml:space="preserve">         </w:t>
      </w:r>
      <w:r>
        <w:rPr>
          <w:rFonts w:hint="eastAsia"/>
          <w:color w:val="000000"/>
          <w:sz w:val="32"/>
          <w:szCs w:val="32"/>
        </w:rPr>
        <w:t xml:space="preserve">                     </w:t>
      </w:r>
      <w:bookmarkStart w:id="0" w:name="文号的完整"/>
      <w:r>
        <w:rPr>
          <w:rFonts w:hint="eastAsia"/>
          <w:color w:val="000000"/>
          <w:sz w:val="32"/>
          <w:szCs w:val="32"/>
          <w:lang w:eastAsia="zh-CN"/>
        </w:rPr>
        <w:t>粤财采购函〔2021〕73号</w:t>
      </w:r>
      <w:bookmarkEnd w:id="0"/>
    </w:p>
    <w:p>
      <w:pPr>
        <w:rPr>
          <w:rFonts w:hint="eastAsia"/>
          <w:lang w:eastAsia="zh-CN"/>
        </w:rPr>
      </w:pPr>
      <w:bookmarkStart w:id="1" w:name="标题"/>
    </w:p>
    <w:p>
      <w:pPr>
        <w:snapToGrid w:val="0"/>
        <w:spacing w:line="288" w:lineRule="auto"/>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广东省财政厅关于优化我省法院系统邮政</w:t>
      </w:r>
    </w:p>
    <w:p>
      <w:pPr>
        <w:snapToGrid w:val="0"/>
        <w:spacing w:line="288" w:lineRule="auto"/>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速递服务项目采取单一来源采购方式</w:t>
      </w:r>
    </w:p>
    <w:p>
      <w:pPr>
        <w:snapToGrid w:val="0"/>
        <w:spacing w:line="288" w:lineRule="auto"/>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审批工作</w:t>
      </w:r>
      <w:bookmarkStart w:id="4" w:name="_GoBack"/>
      <w:bookmarkEnd w:id="4"/>
      <w:r>
        <w:rPr>
          <w:rFonts w:hint="eastAsia" w:ascii="方正小标宋简体" w:eastAsia="方正小标宋简体"/>
          <w:sz w:val="44"/>
          <w:szCs w:val="44"/>
          <w:lang w:eastAsia="zh-CN"/>
        </w:rPr>
        <w:t>的通知</w:t>
      </w:r>
      <w:bookmarkEnd w:id="1"/>
    </w:p>
    <w:p>
      <w:pPr>
        <w:snapToGrid w:val="0"/>
        <w:spacing w:line="288" w:lineRule="auto"/>
        <w:rPr>
          <w:rFonts w:hint="eastAsia"/>
          <w:sz w:val="32"/>
          <w:szCs w:val="32"/>
        </w:rPr>
      </w:pPr>
    </w:p>
    <w:p>
      <w:pPr>
        <w:snapToGrid w:val="0"/>
        <w:spacing w:beforeLines="0" w:afterLines="0" w:line="360" w:lineRule="auto"/>
        <w:contextualSpacing/>
        <w:rPr>
          <w:rFonts w:hint="eastAsia"/>
          <w:sz w:val="32"/>
          <w:szCs w:val="32"/>
        </w:rPr>
      </w:pPr>
      <w:bookmarkStart w:id="2" w:name="主送"/>
      <w:r>
        <w:rPr>
          <w:rFonts w:hint="eastAsia"/>
          <w:sz w:val="32"/>
          <w:szCs w:val="32"/>
          <w:lang w:eastAsia="zh-CN"/>
        </w:rPr>
        <w:t>省法院，广州海事法院、广州铁路运输中院、广州知识产权法院，各地级市中级人民法院，各县（市、区）人民法院（不含广州、深圳）</w:t>
      </w:r>
      <w:bookmarkEnd w:id="2"/>
      <w:r>
        <w:rPr>
          <w:rFonts w:hint="eastAsia"/>
          <w:sz w:val="32"/>
          <w:szCs w:val="32"/>
        </w:rPr>
        <w:t>：</w:t>
      </w:r>
    </w:p>
    <w:p>
      <w:pPr>
        <w:snapToGrid w:val="0"/>
        <w:spacing w:beforeLines="0" w:afterLines="0" w:line="360" w:lineRule="auto"/>
        <w:ind w:firstLine="642"/>
        <w:rPr>
          <w:rFonts w:hint="eastAsia" w:ascii="仿宋_GB2312" w:hAnsi="仿宋_GB2312" w:eastAsia="仿宋_GB2312" w:cs="仿宋_GB2312"/>
          <w:sz w:val="32"/>
          <w:szCs w:val="32"/>
          <w:lang w:val="zh-CN"/>
        </w:rPr>
      </w:pPr>
      <w:bookmarkStart w:id="3" w:name="Content"/>
      <w:bookmarkEnd w:id="3"/>
      <w:r>
        <w:rPr>
          <w:rFonts w:hint="eastAsia" w:ascii="仿宋_GB2312" w:hAnsi="仿宋_GB2312" w:eastAsia="仿宋_GB2312" w:cs="仿宋_GB2312"/>
          <w:sz w:val="32"/>
          <w:szCs w:val="32"/>
          <w:lang w:val="zh-CN"/>
        </w:rPr>
        <w:t>为优化我省法院系统</w:t>
      </w:r>
      <w:r>
        <w:rPr>
          <w:rFonts w:hint="eastAsia" w:ascii="仿宋_GB2312" w:hAnsi="仿宋_GB2312" w:eastAsia="仿宋_GB2312" w:cs="仿宋_GB2312"/>
          <w:kern w:val="0"/>
          <w:sz w:val="32"/>
          <w:szCs w:val="32"/>
          <w:lang w:val="zh-CN"/>
        </w:rPr>
        <w:t>邮政速递服务项目采取单一来源采购方式，根据《中华人民共和国政府采购法》和</w:t>
      </w:r>
      <w:r>
        <w:rPr>
          <w:rFonts w:hint="eastAsia" w:ascii="仿宋_GB2312" w:hAnsi="仿宋_GB2312" w:eastAsia="仿宋_GB2312" w:cs="仿宋_GB2312"/>
          <w:sz w:val="32"/>
          <w:szCs w:val="32"/>
          <w:lang w:val="zh-CN"/>
        </w:rPr>
        <w:t>《中华人民共和国邮政法》有关规定，现将有关事项通知如下：</w:t>
      </w:r>
    </w:p>
    <w:p>
      <w:pPr>
        <w:snapToGrid w:val="0"/>
        <w:spacing w:beforeLines="0" w:afterLines="0" w:line="360" w:lineRule="auto"/>
        <w:ind w:firstLine="642"/>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根据《中华人民共和国邮政法》第五条规定“</w:t>
      </w:r>
      <w:r>
        <w:rPr>
          <w:rFonts w:hint="eastAsia" w:ascii="仿宋_GB2312" w:hAnsi="仿宋_GB2312" w:eastAsia="仿宋_GB2312"/>
          <w:sz w:val="32"/>
          <w:szCs w:val="24"/>
          <w:lang w:val="zh-CN"/>
        </w:rPr>
        <w:t>国务院规定范围内的信件寄递业务，由邮政企业专营</w:t>
      </w:r>
      <w:r>
        <w:rPr>
          <w:rFonts w:hint="eastAsia" w:ascii="仿宋_GB2312" w:hAnsi="仿宋_GB2312" w:eastAsia="仿宋_GB2312" w:cs="仿宋_GB2312"/>
          <w:sz w:val="32"/>
          <w:szCs w:val="32"/>
          <w:lang w:val="zh-CN"/>
        </w:rPr>
        <w:t>”，第五十五条规定</w:t>
      </w:r>
      <w:r>
        <w:rPr>
          <w:rFonts w:hint="eastAsia" w:ascii="仿宋_GB2312" w:hAnsi="仿宋_GB2312" w:eastAsia="仿宋_GB2312" w:cs="仿宋_GB2312"/>
          <w:sz w:val="32"/>
          <w:szCs w:val="32"/>
          <w:lang w:val="zh-CN" w:eastAsia="zh-CN"/>
        </w:rPr>
        <w:t>“</w:t>
      </w:r>
      <w:r>
        <w:rPr>
          <w:rFonts w:hint="eastAsia" w:ascii="仿宋_GB2312" w:hAnsi="仿宋_GB2312" w:eastAsia="仿宋_GB2312"/>
          <w:sz w:val="32"/>
          <w:szCs w:val="24"/>
          <w:lang w:val="zh-CN"/>
        </w:rPr>
        <w:t>快递企业不得经营由邮政企业专营的信件寄递业务，不得寄递国家机关公文”</w:t>
      </w:r>
      <w:r>
        <w:rPr>
          <w:rFonts w:hint="eastAsia" w:ascii="仿宋_GB2312" w:hAnsi="仿宋_GB2312" w:eastAsia="仿宋_GB2312" w:cs="仿宋_GB2312"/>
          <w:sz w:val="32"/>
          <w:szCs w:val="32"/>
          <w:lang w:val="zh-CN"/>
        </w:rPr>
        <w:t>，以及《最高人民法院关于以法院专递方式邮寄送达民事诉讼文书的若干规定》第一条规定</w:t>
      </w:r>
      <w:r>
        <w:rPr>
          <w:rFonts w:hint="eastAsia" w:ascii="仿宋_GB2312" w:hAnsi="仿宋_GB2312" w:eastAsia="仿宋_GB2312" w:cs="Times New Roman"/>
          <w:sz w:val="32"/>
          <w:szCs w:val="24"/>
          <w:lang w:val="zh-CN"/>
        </w:rPr>
        <w:t>“</w:t>
      </w:r>
      <w:r>
        <w:rPr>
          <w:rFonts w:hint="eastAsia" w:ascii="仿宋_GB2312" w:hAnsi="仿宋_GB2312" w:eastAsia="仿宋_GB2312" w:cs="Times New Roman"/>
          <w:i w:val="0"/>
          <w:iCs w:val="0"/>
          <w:caps w:val="0"/>
          <w:spacing w:val="0"/>
          <w:sz w:val="32"/>
          <w:szCs w:val="24"/>
          <w:shd w:val="clear" w:color="auto" w:fill="auto"/>
          <w:lang w:val="zh-CN"/>
        </w:rPr>
        <w:t>人民法院直接送达诉讼文书有困难的，可以交由国家邮政机构（以下简称邮政机构）以法院专递方式邮寄送达</w:t>
      </w:r>
      <w:r>
        <w:rPr>
          <w:rFonts w:hint="eastAsia" w:ascii="仿宋_GB2312" w:hAnsi="仿宋_GB2312" w:eastAsia="仿宋_GB2312" w:cs="Times New Roman"/>
          <w:sz w:val="32"/>
          <w:szCs w:val="24"/>
          <w:lang w:val="zh-CN"/>
        </w:rPr>
        <w:t>”，法院</w:t>
      </w:r>
      <w:r>
        <w:rPr>
          <w:rFonts w:hint="eastAsia" w:ascii="仿宋_GB2312" w:hAnsi="仿宋_GB2312" w:eastAsia="仿宋_GB2312" w:cs="仿宋_GB2312"/>
          <w:sz w:val="32"/>
          <w:szCs w:val="32"/>
          <w:lang w:val="zh-CN"/>
        </w:rPr>
        <w:t>的诉讼文书、裁判文书等法律文书以及对外公函属于邮政企业专营范围，其他快递企业不得寄递。因此，此类邮政速递服务项目符合《中华人民共和国政府采购法》第三十一条规定“只能从唯一供应商处采购的”的情形，如达到公开招标数额标准的，可以采用单一来源方式组织采购，不再向省财政厅行文并递交申请材料。各单位在采用单一来源方式组织采购时的</w:t>
      </w:r>
      <w:r>
        <w:rPr>
          <w:rFonts w:hint="eastAsia" w:ascii="仿宋_GB2312" w:hAnsi="仿宋_GB2312" w:eastAsia="仿宋_GB2312" w:cs="仿宋_GB2312"/>
          <w:kern w:val="0"/>
          <w:sz w:val="32"/>
          <w:szCs w:val="32"/>
          <w:lang w:val="en-US" w:eastAsia="zh-CN"/>
        </w:rPr>
        <w:t>其他要求不变，仍</w:t>
      </w:r>
      <w:r>
        <w:rPr>
          <w:rFonts w:hint="eastAsia" w:ascii="仿宋_GB2312" w:hAnsi="仿宋_GB2312" w:eastAsia="仿宋_GB2312" w:cs="仿宋_GB2312"/>
          <w:kern w:val="0"/>
          <w:sz w:val="32"/>
          <w:szCs w:val="32"/>
          <w:lang w:val="zh-CN"/>
        </w:rPr>
        <w:t>按照《广东省财政厅关于规范省级单一来源采购方式审批和进口产品核准管理有关事项的通知》（粤财采购</w:t>
      </w:r>
      <w:r>
        <w:rPr>
          <w:rFonts w:hint="eastAsia" w:ascii="仿宋_GB2312" w:hAnsi="仿宋_GB2312" w:eastAsia="仿宋_GB2312" w:cs="仿宋_GB2312"/>
          <w:sz w:val="32"/>
          <w:szCs w:val="32"/>
          <w:lang w:val="zh-CN"/>
        </w:rPr>
        <w:t>〔2020〕13号）执行。</w:t>
      </w:r>
    </w:p>
    <w:p>
      <w:pPr>
        <w:snapToGrid w:val="0"/>
        <w:spacing w:beforeLines="0" w:afterLines="0" w:line="360" w:lineRule="auto"/>
        <w:rPr>
          <w:rFonts w:hint="eastAsia"/>
          <w:sz w:val="32"/>
          <w:szCs w:val="32"/>
        </w:rPr>
      </w:pPr>
    </w:p>
    <w:p>
      <w:pPr>
        <w:snapToGrid w:val="0"/>
        <w:spacing w:beforeLines="0" w:afterLines="0" w:line="360" w:lineRule="auto"/>
        <w:rPr>
          <w:rFonts w:hint="eastAsia"/>
          <w:sz w:val="32"/>
          <w:szCs w:val="32"/>
        </w:rPr>
      </w:pPr>
    </w:p>
    <w:p>
      <w:pPr>
        <w:snapToGrid w:val="0"/>
        <w:spacing w:beforeLines="0" w:afterLines="0" w:line="360" w:lineRule="auto"/>
        <w:rPr>
          <w:rFonts w:hint="eastAsia"/>
          <w:sz w:val="32"/>
          <w:szCs w:val="32"/>
        </w:rPr>
      </w:pPr>
    </w:p>
    <w:p>
      <w:pPr>
        <w:snapToGrid w:val="0"/>
        <w:spacing w:beforeLines="0" w:afterLines="0" w:line="360" w:lineRule="auto"/>
        <w:ind w:firstLine="5760" w:firstLineChars="1800"/>
        <w:rPr>
          <w:rFonts w:hint="eastAsia"/>
          <w:sz w:val="32"/>
          <w:szCs w:val="32"/>
        </w:rPr>
      </w:pPr>
      <w:r>
        <w:rPr>
          <w:rFonts w:hint="eastAsia"/>
          <w:sz w:val="32"/>
          <w:szCs w:val="32"/>
        </w:rPr>
        <w:t>广东省财政厅</w:t>
      </w:r>
    </w:p>
    <w:p>
      <w:pPr>
        <w:snapToGrid w:val="0"/>
        <w:spacing w:beforeLines="0" w:afterLines="0" w:line="360" w:lineRule="auto"/>
        <w:rPr>
          <w:sz w:val="32"/>
          <w:szCs w:val="32"/>
        </w:rPr>
      </w:pPr>
      <w:r>
        <w:rPr>
          <w:rFonts w:hint="eastAsia"/>
          <w:sz w:val="32"/>
          <w:szCs w:val="32"/>
        </w:rPr>
        <w:t xml:space="preserve">                                  20</w:t>
      </w:r>
      <w:r>
        <w:rPr>
          <w:rFonts w:hint="eastAsia"/>
          <w:sz w:val="32"/>
          <w:szCs w:val="32"/>
          <w:lang w:val="en-US" w:eastAsia="zh-CN"/>
        </w:rPr>
        <w:t>21</w:t>
      </w:r>
      <w:r>
        <w:rPr>
          <w:rFonts w:hint="eastAsia"/>
          <w:sz w:val="32"/>
          <w:szCs w:val="32"/>
        </w:rPr>
        <w:t>年</w:t>
      </w:r>
      <w:r>
        <w:rPr>
          <w:rFonts w:hint="eastAsia"/>
          <w:sz w:val="32"/>
          <w:szCs w:val="32"/>
          <w:lang w:val="en-US" w:eastAsia="zh-CN"/>
        </w:rPr>
        <w:t>10</w:t>
      </w:r>
      <w:r>
        <w:rPr>
          <w:rFonts w:hint="eastAsia"/>
          <w:sz w:val="32"/>
          <w:szCs w:val="32"/>
        </w:rPr>
        <w:t>月</w:t>
      </w:r>
      <w:r>
        <w:rPr>
          <w:rFonts w:hint="eastAsia"/>
          <w:sz w:val="32"/>
          <w:szCs w:val="32"/>
          <w:lang w:val="en-US" w:eastAsia="zh-CN"/>
        </w:rPr>
        <w:t>21</w:t>
      </w:r>
      <w:r>
        <w:rPr>
          <w:rFonts w:hint="eastAsia"/>
          <w:sz w:val="32"/>
          <w:szCs w:val="32"/>
        </w:rPr>
        <w:t>日</w:t>
      </w:r>
    </w:p>
    <w:sectPr>
      <w:footerReference r:id="rId5" w:type="first"/>
      <w:footerReference r:id="rId3" w:type="default"/>
      <w:footerReference r:id="rId4" w:type="even"/>
      <w:pgSz w:w="11906" w:h="16838"/>
      <w:pgMar w:top="2041" w:right="1418" w:bottom="1418" w:left="1531" w:header="851" w:footer="794" w:gutter="0"/>
      <w:pgNumType w:start="1" w:chapStyle="1"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7A"/>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1276"/>
        <w:tab w:val="clear" w:pos="4153"/>
      </w:tabs>
      <w:wordWrap w:val="0"/>
      <w:ind w:left="1440" w:right="280"/>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1"/>
      </w:numPr>
      <w:tabs>
        <w:tab w:val="center" w:pos="142"/>
        <w:tab w:val="clear" w:pos="4153"/>
      </w:tabs>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lang w:val="zh-CN"/>
      </w:rPr>
      <w:t>2</w:t>
    </w:r>
    <w:r>
      <w:rPr>
        <w:rFonts w:hint="eastAsia"/>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t>[键入文字]</w:t>
    </w:r>
  </w:p>
  <w:p>
    <w:pPr>
      <w:pStyle w:val="3"/>
      <w:ind w:right="140"/>
      <w:jc w:val="right"/>
      <w:rPr>
        <w:rFonts w:hint="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E084A"/>
    <w:multiLevelType w:val="multilevel"/>
    <w:tmpl w:val="44FE084A"/>
    <w:lvl w:ilvl="0" w:tentative="0">
      <w:start w:val="0"/>
      <w:numFmt w:val="bullet"/>
      <w:lvlText w:val="-"/>
      <w:lvlJc w:val="left"/>
      <w:pPr>
        <w:ind w:left="360" w:hanging="360"/>
      </w:pPr>
      <w:rPr>
        <w:rFonts w:hint="eastAsia" w:ascii="仿宋_GB2312" w:hAnsi="Calibri"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6DF"/>
    <w:rsid w:val="000E7D34"/>
    <w:rsid w:val="00105EAE"/>
    <w:rsid w:val="00144E1C"/>
    <w:rsid w:val="001815F1"/>
    <w:rsid w:val="0018328C"/>
    <w:rsid w:val="00185963"/>
    <w:rsid w:val="001B5A8E"/>
    <w:rsid w:val="00205362"/>
    <w:rsid w:val="00221808"/>
    <w:rsid w:val="00224CAE"/>
    <w:rsid w:val="002441D5"/>
    <w:rsid w:val="0025239D"/>
    <w:rsid w:val="00252BF9"/>
    <w:rsid w:val="002A1C37"/>
    <w:rsid w:val="002B7827"/>
    <w:rsid w:val="002C7247"/>
    <w:rsid w:val="00303309"/>
    <w:rsid w:val="00325134"/>
    <w:rsid w:val="00332901"/>
    <w:rsid w:val="003422E8"/>
    <w:rsid w:val="00347479"/>
    <w:rsid w:val="00387CC7"/>
    <w:rsid w:val="003A36DD"/>
    <w:rsid w:val="003B559A"/>
    <w:rsid w:val="003B7EC7"/>
    <w:rsid w:val="003F0786"/>
    <w:rsid w:val="00411D98"/>
    <w:rsid w:val="004147EC"/>
    <w:rsid w:val="004316A8"/>
    <w:rsid w:val="00461D19"/>
    <w:rsid w:val="004650D3"/>
    <w:rsid w:val="00472746"/>
    <w:rsid w:val="004A2405"/>
    <w:rsid w:val="004B76E8"/>
    <w:rsid w:val="004E5B8E"/>
    <w:rsid w:val="00536566"/>
    <w:rsid w:val="00565821"/>
    <w:rsid w:val="0056626C"/>
    <w:rsid w:val="005A7B21"/>
    <w:rsid w:val="005B7695"/>
    <w:rsid w:val="00604420"/>
    <w:rsid w:val="00627BA0"/>
    <w:rsid w:val="006374D3"/>
    <w:rsid w:val="00660AF9"/>
    <w:rsid w:val="00665E7F"/>
    <w:rsid w:val="006741F5"/>
    <w:rsid w:val="006A017C"/>
    <w:rsid w:val="006A1648"/>
    <w:rsid w:val="006A435E"/>
    <w:rsid w:val="006B1B31"/>
    <w:rsid w:val="006C4F6F"/>
    <w:rsid w:val="006C7D57"/>
    <w:rsid w:val="006D1087"/>
    <w:rsid w:val="006E1A4A"/>
    <w:rsid w:val="007110D7"/>
    <w:rsid w:val="00721823"/>
    <w:rsid w:val="007647B6"/>
    <w:rsid w:val="00777BF4"/>
    <w:rsid w:val="00793B0F"/>
    <w:rsid w:val="007959D0"/>
    <w:rsid w:val="007C679F"/>
    <w:rsid w:val="008054F5"/>
    <w:rsid w:val="008058F4"/>
    <w:rsid w:val="0082788E"/>
    <w:rsid w:val="008473D5"/>
    <w:rsid w:val="00865286"/>
    <w:rsid w:val="00870105"/>
    <w:rsid w:val="00870C08"/>
    <w:rsid w:val="00875AF0"/>
    <w:rsid w:val="008B0DBA"/>
    <w:rsid w:val="008C2639"/>
    <w:rsid w:val="008E0CF8"/>
    <w:rsid w:val="008E7996"/>
    <w:rsid w:val="008F083F"/>
    <w:rsid w:val="00902646"/>
    <w:rsid w:val="00937274"/>
    <w:rsid w:val="009540E2"/>
    <w:rsid w:val="00955C13"/>
    <w:rsid w:val="00977EE5"/>
    <w:rsid w:val="00983659"/>
    <w:rsid w:val="009971B2"/>
    <w:rsid w:val="009A15B9"/>
    <w:rsid w:val="009B14A2"/>
    <w:rsid w:val="009D19CB"/>
    <w:rsid w:val="00A2686A"/>
    <w:rsid w:val="00A40D6B"/>
    <w:rsid w:val="00A55A9E"/>
    <w:rsid w:val="00A64B66"/>
    <w:rsid w:val="00A668DF"/>
    <w:rsid w:val="00AA3329"/>
    <w:rsid w:val="00AA4BDE"/>
    <w:rsid w:val="00AB184B"/>
    <w:rsid w:val="00AD623A"/>
    <w:rsid w:val="00AE6D36"/>
    <w:rsid w:val="00AF3BB2"/>
    <w:rsid w:val="00B2612D"/>
    <w:rsid w:val="00B65B35"/>
    <w:rsid w:val="00B91AB0"/>
    <w:rsid w:val="00BB2E26"/>
    <w:rsid w:val="00BD13B7"/>
    <w:rsid w:val="00BD2382"/>
    <w:rsid w:val="00BD49F8"/>
    <w:rsid w:val="00C02A6C"/>
    <w:rsid w:val="00C22CA2"/>
    <w:rsid w:val="00C4125A"/>
    <w:rsid w:val="00C66B98"/>
    <w:rsid w:val="00CD42A6"/>
    <w:rsid w:val="00D1112E"/>
    <w:rsid w:val="00D21D90"/>
    <w:rsid w:val="00D31CDF"/>
    <w:rsid w:val="00D50F9F"/>
    <w:rsid w:val="00D665A4"/>
    <w:rsid w:val="00DA3E5B"/>
    <w:rsid w:val="00DC3CF6"/>
    <w:rsid w:val="00DE3CCA"/>
    <w:rsid w:val="00DE4F2C"/>
    <w:rsid w:val="00DF0D52"/>
    <w:rsid w:val="00E06AEB"/>
    <w:rsid w:val="00E208CE"/>
    <w:rsid w:val="00E621FF"/>
    <w:rsid w:val="00E710AB"/>
    <w:rsid w:val="00E85924"/>
    <w:rsid w:val="00EC56A7"/>
    <w:rsid w:val="00EC5DBA"/>
    <w:rsid w:val="00F0326F"/>
    <w:rsid w:val="00F5584E"/>
    <w:rsid w:val="00F962A0"/>
    <w:rsid w:val="00FE0604"/>
    <w:rsid w:val="012457C8"/>
    <w:rsid w:val="02C03AD2"/>
    <w:rsid w:val="03137B87"/>
    <w:rsid w:val="03C451D4"/>
    <w:rsid w:val="046136F5"/>
    <w:rsid w:val="05502DED"/>
    <w:rsid w:val="06184597"/>
    <w:rsid w:val="067703B8"/>
    <w:rsid w:val="06AE5C02"/>
    <w:rsid w:val="06FF0457"/>
    <w:rsid w:val="07820886"/>
    <w:rsid w:val="08B466A8"/>
    <w:rsid w:val="08F43DB7"/>
    <w:rsid w:val="092160FB"/>
    <w:rsid w:val="0AC00324"/>
    <w:rsid w:val="0B57090D"/>
    <w:rsid w:val="0BCA33E7"/>
    <w:rsid w:val="0C142CCE"/>
    <w:rsid w:val="0C1A019A"/>
    <w:rsid w:val="0EF8542A"/>
    <w:rsid w:val="0F07682A"/>
    <w:rsid w:val="0F830544"/>
    <w:rsid w:val="10982ABA"/>
    <w:rsid w:val="10D17C47"/>
    <w:rsid w:val="17A4341B"/>
    <w:rsid w:val="19C333FD"/>
    <w:rsid w:val="19EE78FA"/>
    <w:rsid w:val="1B002426"/>
    <w:rsid w:val="1B787EF8"/>
    <w:rsid w:val="1E0A3FEF"/>
    <w:rsid w:val="1F9C355A"/>
    <w:rsid w:val="22C9C97E"/>
    <w:rsid w:val="232C687B"/>
    <w:rsid w:val="25A71434"/>
    <w:rsid w:val="261254B3"/>
    <w:rsid w:val="28843303"/>
    <w:rsid w:val="29284E3C"/>
    <w:rsid w:val="2A307D77"/>
    <w:rsid w:val="2A642369"/>
    <w:rsid w:val="2B7B4CE3"/>
    <w:rsid w:val="2CDF3899"/>
    <w:rsid w:val="2ED6475F"/>
    <w:rsid w:val="2FBA07D0"/>
    <w:rsid w:val="304D2ECC"/>
    <w:rsid w:val="32A52192"/>
    <w:rsid w:val="33F0A5AE"/>
    <w:rsid w:val="34C63C05"/>
    <w:rsid w:val="381D7431"/>
    <w:rsid w:val="39D47D4C"/>
    <w:rsid w:val="3AC23776"/>
    <w:rsid w:val="3ACC6A04"/>
    <w:rsid w:val="3C4615DB"/>
    <w:rsid w:val="3C7B06AE"/>
    <w:rsid w:val="3CB343EA"/>
    <w:rsid w:val="3DAC528F"/>
    <w:rsid w:val="3E2B43FD"/>
    <w:rsid w:val="3FA54153"/>
    <w:rsid w:val="41994B89"/>
    <w:rsid w:val="42A03128"/>
    <w:rsid w:val="42FB0491"/>
    <w:rsid w:val="43F66E3E"/>
    <w:rsid w:val="44672E47"/>
    <w:rsid w:val="46555853"/>
    <w:rsid w:val="46E85D0D"/>
    <w:rsid w:val="47AD5B05"/>
    <w:rsid w:val="48380C47"/>
    <w:rsid w:val="4872316F"/>
    <w:rsid w:val="492D05C3"/>
    <w:rsid w:val="495D1D59"/>
    <w:rsid w:val="497960E8"/>
    <w:rsid w:val="49C66FDE"/>
    <w:rsid w:val="4C4728F5"/>
    <w:rsid w:val="4DDB1A3E"/>
    <w:rsid w:val="4F0F3D26"/>
    <w:rsid w:val="51725ACB"/>
    <w:rsid w:val="52D2588A"/>
    <w:rsid w:val="585B1260"/>
    <w:rsid w:val="58EF777A"/>
    <w:rsid w:val="5A1C2F3E"/>
    <w:rsid w:val="5A344B03"/>
    <w:rsid w:val="5A5E66E7"/>
    <w:rsid w:val="5B5E4484"/>
    <w:rsid w:val="5C143378"/>
    <w:rsid w:val="5C7361BE"/>
    <w:rsid w:val="5C934C56"/>
    <w:rsid w:val="5CF84D1D"/>
    <w:rsid w:val="5DE0778A"/>
    <w:rsid w:val="5F9D32AC"/>
    <w:rsid w:val="621039F3"/>
    <w:rsid w:val="63972DF0"/>
    <w:rsid w:val="640F41EB"/>
    <w:rsid w:val="65E86FFC"/>
    <w:rsid w:val="68321F9E"/>
    <w:rsid w:val="683E3676"/>
    <w:rsid w:val="6884340D"/>
    <w:rsid w:val="693C4AA5"/>
    <w:rsid w:val="6A716E1B"/>
    <w:rsid w:val="6A72CDE0"/>
    <w:rsid w:val="6C9D4E9F"/>
    <w:rsid w:val="6E457273"/>
    <w:rsid w:val="702560C6"/>
    <w:rsid w:val="704F4FEA"/>
    <w:rsid w:val="707A1866"/>
    <w:rsid w:val="70FA378F"/>
    <w:rsid w:val="71AC2209"/>
    <w:rsid w:val="72D8008B"/>
    <w:rsid w:val="762E3F80"/>
    <w:rsid w:val="7657579A"/>
    <w:rsid w:val="7802063C"/>
    <w:rsid w:val="7A235A43"/>
    <w:rsid w:val="7B2F5637"/>
    <w:rsid w:val="7BD72ADA"/>
    <w:rsid w:val="7E709350"/>
    <w:rsid w:val="84CC0AB8"/>
    <w:rsid w:val="8BB795DD"/>
    <w:rsid w:val="8E266AF1"/>
    <w:rsid w:val="9F265DAE"/>
    <w:rsid w:val="A1647527"/>
    <w:rsid w:val="A21D39B8"/>
    <w:rsid w:val="A7A0288D"/>
    <w:rsid w:val="AB45ADBE"/>
    <w:rsid w:val="B40F9B87"/>
    <w:rsid w:val="B5324A96"/>
    <w:rsid w:val="C0DD770E"/>
    <w:rsid w:val="D0CD9002"/>
    <w:rsid w:val="E0F11649"/>
    <w:rsid w:val="E5CFA423"/>
    <w:rsid w:val="EB5BA0AC"/>
    <w:rsid w:val="F05597EA"/>
    <w:rsid w:val="F4A40329"/>
    <w:rsid w:val="F57A2528"/>
    <w:rsid w:val="F7E189E3"/>
    <w:rsid w:val="FAC658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rFonts w:ascii="Times New Roman" w:hAnsi="Times New Roman" w:eastAsia="宋体" w:cs="Times New Roman"/>
    </w:rPr>
  </w:style>
  <w:style w:type="paragraph" w:customStyle="1" w:styleId="8">
    <w:name w:val="默认段落字体 Para Char Char Char Char Char Char Char"/>
    <w:basedOn w:val="1"/>
    <w:uiPriority w:val="0"/>
    <w:rPr>
      <w:rFonts w:ascii="Tahoma" w:hAnsi="Tahoma" w:eastAsia="宋体" w:cs="Times New Roman"/>
      <w:sz w:val="24"/>
      <w:szCs w:val="20"/>
    </w:rPr>
  </w:style>
  <w:style w:type="paragraph" w:customStyle="1" w:styleId="9">
    <w:name w:val=" Char"/>
    <w:basedOn w:val="1"/>
    <w:uiPriority w:val="0"/>
    <w:pPr>
      <w:tabs>
        <w:tab w:val="left" w:pos="425"/>
      </w:tabs>
      <w:ind w:left="425" w:hanging="425"/>
    </w:pPr>
    <w:rPr>
      <w:rFonts w:ascii="Times New Roman" w:hAnsi="Times New Roman" w:eastAsia="仿宋_GB2312"/>
      <w:kern w:val="24"/>
      <w:sz w:val="24"/>
      <w:szCs w:val="24"/>
    </w:rPr>
  </w:style>
  <w:style w:type="character" w:customStyle="1" w:styleId="10">
    <w:name w:val="页眉 Char"/>
    <w:basedOn w:val="5"/>
    <w:link w:val="4"/>
    <w:semiHidden/>
    <w:uiPriority w:val="99"/>
    <w:rPr>
      <w:sz w:val="18"/>
      <w:szCs w:val="18"/>
    </w:rPr>
  </w:style>
  <w:style w:type="character" w:customStyle="1" w:styleId="11">
    <w:name w:val="批注框文本 Char"/>
    <w:basedOn w:val="5"/>
    <w:link w:val="2"/>
    <w:semiHidden/>
    <w:uiPriority w:val="99"/>
    <w:rPr>
      <w:sz w:val="18"/>
      <w:szCs w:val="18"/>
    </w:rPr>
  </w:style>
  <w:style w:type="character" w:customStyle="1" w:styleId="12">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Words>
  <Characters>114</Characters>
  <Lines>1</Lines>
  <Paragraphs>1</Paragraphs>
  <ScaleCrop>false</ScaleCrop>
  <LinksUpToDate>false</LinksUpToDate>
  <CharactersWithSpaces>132</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2015-11-20T08:40:00Z</dcterms:created>
  <dc:creator>叶葱葱</dc:creator>
  <cp:lastModifiedBy>247</cp:lastModifiedBy>
  <cp:lastPrinted>2015-11-20T08:54:00Z</cp:lastPrinted>
  <dcterms:modified xsi:type="dcterms:W3CDTF">2021-10-22T08:42:38Z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