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44"/>
          <w:szCs w:val="44"/>
          <w:highlight w:val="none"/>
          <w:lang w:val="en-US" w:eastAsia="zh-CN"/>
        </w:rPr>
        <w:t>提前下达2021年中央财政医疗服务与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44"/>
          <w:szCs w:val="44"/>
          <w:highlight w:val="none"/>
          <w:lang w:val="en-US" w:eastAsia="zh-CN"/>
        </w:rPr>
        <w:t>保障能力提升补助资金绩效目标表</w:t>
      </w:r>
    </w:p>
    <w:tbl>
      <w:tblPr>
        <w:tblStyle w:val="4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867"/>
        <w:gridCol w:w="1023"/>
        <w:gridCol w:w="461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17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647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医疗服务与能力提升补助资金（医疗保障服务能力提升部分）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省份</w:t>
            </w:r>
          </w:p>
        </w:tc>
        <w:tc>
          <w:tcPr>
            <w:tcW w:w="6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6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6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6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6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6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8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目标1：提升医保信息信息化水平，加强网络、信息安全、基础设施等方面建设，进一步夯实技术基础，切实保障医保信息系统高效、安全运行，提高数据采集质量和速度。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目标2：加强打击欺诈骗保工作力度，切实保障医保基金合理有效使用。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目标3：加快推进医保支付方式改革和DRG试点工作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目标4：有效提升综合监管、宣传引导、经办服务、人才队伍建设等医疗保障服务能力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召开医保工作省级新闻发布会、政策吹风会次数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≥2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召开医保工作政府信息公开省级工作会议或培训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≥1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医保信息系统验收合格率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≥90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医保信息系统正常运行率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≥90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医保信息系统重大安全事件响应时间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≤60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定点医药机构监督检查覆盖率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医保人才培训合格率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推行医保支付方式改革和DRG试点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逐步推开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DRG试点进展模拟运行时间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推进广州、深圳等5个市开展DIP国家试点工作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逐步推开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医保重要政策知晓率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跨省异地就医直接结算率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参保人员对医保服务的满意度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876E1"/>
    <w:rsid w:val="02EE6755"/>
    <w:rsid w:val="0EB52B1B"/>
    <w:rsid w:val="1B85535A"/>
    <w:rsid w:val="20C5062B"/>
    <w:rsid w:val="20CD3C97"/>
    <w:rsid w:val="34311F03"/>
    <w:rsid w:val="344467E2"/>
    <w:rsid w:val="46394824"/>
    <w:rsid w:val="4DDB60A4"/>
    <w:rsid w:val="570D05AC"/>
    <w:rsid w:val="572F611B"/>
    <w:rsid w:val="57600728"/>
    <w:rsid w:val="6E933B1A"/>
    <w:rsid w:val="77B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朱胜亚</cp:lastModifiedBy>
  <dcterms:modified xsi:type="dcterms:W3CDTF">2020-12-10T07:44:13Z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